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AC83A6" w14:textId="77777777" w:rsidR="007D72C2" w:rsidRPr="00A537D1" w:rsidRDefault="00A537D1">
      <w:pPr>
        <w:pStyle w:val="Title"/>
        <w:jc w:val="center"/>
        <w:rPr>
          <w:rFonts w:ascii="Arial" w:hAnsi="Arial" w:cs="Arial"/>
          <w:color w:val="000000" w:themeColor="text1"/>
        </w:rPr>
      </w:pPr>
      <w:r w:rsidRPr="00A537D1">
        <w:rPr>
          <w:rFonts w:ascii="Arial" w:hAnsi="Arial" w:cs="Arial"/>
          <w:color w:val="000000" w:themeColor="text1"/>
        </w:rPr>
        <w:t>Business Summary Report: Predictive Insights for Collections Strategy</w:t>
      </w:r>
    </w:p>
    <w:p w14:paraId="2F4337BF"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1. Summary of Predictive Insights</w:t>
      </w:r>
    </w:p>
    <w:p w14:paraId="4CF99A57" w14:textId="77777777" w:rsidR="00AE3F0D" w:rsidRDefault="00AE3F0D" w:rsidP="00AE3F0D">
      <w:pPr>
        <w:pStyle w:val="pdq2pgselectionanchorcontainer"/>
        <w:rPr>
          <w:color w:val="000000"/>
        </w:rPr>
      </w:pPr>
      <w:r>
        <w:rPr>
          <w:color w:val="000000"/>
        </w:rPr>
        <w:t>The Decision Tree model identified several customer characteristics that strongly influence the likelihood of delinquency. Customers with</w:t>
      </w:r>
      <w:r>
        <w:rPr>
          <w:rStyle w:val="apple-converted-space"/>
          <w:color w:val="000000"/>
        </w:rPr>
        <w:t> </w:t>
      </w:r>
      <w:r>
        <w:rPr>
          <w:rStyle w:val="Strong"/>
          <w:color w:val="000000"/>
        </w:rPr>
        <w:t>high credit utilization, low credit scores, and multiple missed payments</w:t>
      </w:r>
      <w:r>
        <w:rPr>
          <w:rStyle w:val="apple-converted-space"/>
          <w:color w:val="000000"/>
        </w:rPr>
        <w:t> </w:t>
      </w:r>
      <w:r>
        <w:rPr>
          <w:color w:val="000000"/>
        </w:rPr>
        <w:t>were classified as the highest-risk group. The model also found that customers with</w:t>
      </w:r>
      <w:r>
        <w:rPr>
          <w:rStyle w:val="apple-converted-space"/>
          <w:color w:val="000000"/>
        </w:rPr>
        <w:t> </w:t>
      </w:r>
      <w:r>
        <w:rPr>
          <w:rStyle w:val="Strong"/>
          <w:color w:val="000000"/>
        </w:rPr>
        <w:t>high debt-to-income ratios</w:t>
      </w:r>
      <w:r>
        <w:rPr>
          <w:rStyle w:val="apple-converted-space"/>
          <w:color w:val="000000"/>
        </w:rPr>
        <w:t> </w:t>
      </w:r>
      <w:r>
        <w:rPr>
          <w:color w:val="000000"/>
        </w:rPr>
        <w:t>and</w:t>
      </w:r>
      <w:r>
        <w:rPr>
          <w:rStyle w:val="apple-converted-space"/>
          <w:color w:val="000000"/>
        </w:rPr>
        <w:t> </w:t>
      </w:r>
      <w:r>
        <w:rPr>
          <w:rStyle w:val="Strong"/>
          <w:color w:val="000000"/>
        </w:rPr>
        <w:t xml:space="preserve">large outstanding loan </w:t>
      </w:r>
      <w:proofErr w:type="spellStart"/>
      <w:r>
        <w:rPr>
          <w:rStyle w:val="Strong"/>
          <w:color w:val="000000"/>
        </w:rPr>
        <w:t>balances</w:t>
      </w:r>
      <w:r>
        <w:rPr>
          <w:color w:val="000000"/>
        </w:rPr>
        <w:t>have</w:t>
      </w:r>
      <w:proofErr w:type="spellEnd"/>
      <w:r>
        <w:rPr>
          <w:color w:val="000000"/>
        </w:rPr>
        <w:t xml:space="preserve"> an increased probability of repayment difficulties.</w:t>
      </w:r>
    </w:p>
    <w:p w14:paraId="1EA2D2AD" w14:textId="77777777" w:rsidR="00AE3F0D" w:rsidRDefault="00AE3F0D" w:rsidP="00AE3F0D">
      <w:pPr>
        <w:pStyle w:val="Heading3"/>
        <w:rPr>
          <w:color w:val="000000"/>
        </w:rPr>
      </w:pPr>
      <w:r>
        <w:rPr>
          <w:color w:val="000000"/>
        </w:rPr>
        <w:t>Top 3 Risk Factors</w:t>
      </w:r>
    </w:p>
    <w:p w14:paraId="6778ECDE" w14:textId="77777777" w:rsidR="00AE3F0D" w:rsidRDefault="00AE3F0D" w:rsidP="00AE3F0D">
      <w:pPr>
        <w:numPr>
          <w:ilvl w:val="0"/>
          <w:numId w:val="10"/>
        </w:numPr>
        <w:spacing w:before="100" w:beforeAutospacing="1" w:after="100" w:afterAutospacing="1" w:line="240" w:lineRule="auto"/>
        <w:rPr>
          <w:color w:val="000000"/>
        </w:rPr>
      </w:pPr>
      <w:r>
        <w:rPr>
          <w:rStyle w:val="Strong"/>
          <w:color w:val="000000"/>
        </w:rPr>
        <w:t>High Credit Utilization:</w:t>
      </w:r>
      <w:r>
        <w:rPr>
          <w:rStyle w:val="apple-converted-space"/>
          <w:color w:val="000000"/>
        </w:rPr>
        <w:t> </w:t>
      </w:r>
      <w:r>
        <w:rPr>
          <w:color w:val="000000"/>
        </w:rPr>
        <w:t>Customers using a large percentage of their available credit are more likely to become delinquent because they have limited remaining borrowing capacity.</w:t>
      </w:r>
    </w:p>
    <w:p w14:paraId="2523FF6E" w14:textId="77777777" w:rsidR="00AE3F0D" w:rsidRDefault="00AE3F0D" w:rsidP="00AE3F0D">
      <w:pPr>
        <w:numPr>
          <w:ilvl w:val="0"/>
          <w:numId w:val="10"/>
        </w:numPr>
        <w:spacing w:before="100" w:beforeAutospacing="1" w:after="100" w:afterAutospacing="1" w:line="240" w:lineRule="auto"/>
        <w:rPr>
          <w:color w:val="000000"/>
        </w:rPr>
      </w:pPr>
      <w:r>
        <w:rPr>
          <w:rStyle w:val="Strong"/>
          <w:color w:val="000000"/>
        </w:rPr>
        <w:t>Low Credit Score:</w:t>
      </w:r>
      <w:r>
        <w:rPr>
          <w:rStyle w:val="apple-converted-space"/>
          <w:color w:val="000000"/>
        </w:rPr>
        <w:t> </w:t>
      </w:r>
      <w:r>
        <w:rPr>
          <w:color w:val="000000"/>
        </w:rPr>
        <w:t>Customers with lower credit scores have weaker credit histories and are at a higher risk of missing future loan repayments.</w:t>
      </w:r>
    </w:p>
    <w:p w14:paraId="710ADF52" w14:textId="77777777" w:rsidR="00AE3F0D" w:rsidRDefault="00AE3F0D" w:rsidP="00AE3F0D">
      <w:pPr>
        <w:numPr>
          <w:ilvl w:val="0"/>
          <w:numId w:val="10"/>
        </w:numPr>
        <w:spacing w:before="100" w:beforeAutospacing="1" w:after="100" w:afterAutospacing="1" w:line="240" w:lineRule="auto"/>
        <w:rPr>
          <w:color w:val="000000"/>
        </w:rPr>
      </w:pPr>
      <w:r>
        <w:rPr>
          <w:rStyle w:val="Strong"/>
          <w:color w:val="000000"/>
        </w:rPr>
        <w:t>Previous Missed Payments:</w:t>
      </w:r>
      <w:r>
        <w:rPr>
          <w:rStyle w:val="apple-converted-space"/>
          <w:color w:val="000000"/>
        </w:rPr>
        <w:t> </w:t>
      </w:r>
      <w:r>
        <w:rPr>
          <w:color w:val="000000"/>
        </w:rPr>
        <w:t xml:space="preserve">A history of missed payments is the strongest </w:t>
      </w:r>
      <w:proofErr w:type="spellStart"/>
      <w:r>
        <w:rPr>
          <w:color w:val="000000"/>
        </w:rPr>
        <w:t>behavioural</w:t>
      </w:r>
      <w:proofErr w:type="spellEnd"/>
      <w:r>
        <w:rPr>
          <w:color w:val="000000"/>
        </w:rPr>
        <w:t xml:space="preserve"> indicator of future delinquency and repayment problems.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341"/>
        <w:gridCol w:w="1943"/>
        <w:gridCol w:w="1770"/>
        <w:gridCol w:w="2696"/>
      </w:tblGrid>
      <w:tr w:rsidR="00AE3F0D" w:rsidRPr="00AE3F0D" w14:paraId="5DE3F64A" w14:textId="77777777" w:rsidTr="00AE3F0D">
        <w:trPr>
          <w:tblHeader/>
          <w:tblCellSpacing w:w="15" w:type="dxa"/>
        </w:trPr>
        <w:tc>
          <w:tcPr>
            <w:tcW w:w="0" w:type="auto"/>
            <w:vAlign w:val="center"/>
            <w:hideMark/>
          </w:tcPr>
          <w:p w14:paraId="2A450E3D" w14:textId="77777777" w:rsidR="00AE3F0D" w:rsidRPr="00AE3F0D" w:rsidRDefault="00AE3F0D" w:rsidP="00AE3F0D">
            <w:pPr>
              <w:spacing w:after="0" w:line="240" w:lineRule="auto"/>
              <w:jc w:val="center"/>
              <w:rPr>
                <w:rFonts w:ascii="Times New Roman" w:eastAsia="Times New Roman" w:hAnsi="Times New Roman" w:cs="Times New Roman"/>
                <w:b/>
                <w:bCs/>
                <w:color w:val="000000"/>
                <w:sz w:val="24"/>
                <w:szCs w:val="24"/>
                <w:lang w:val="en-IN" w:eastAsia="en-GB"/>
              </w:rPr>
            </w:pPr>
            <w:r w:rsidRPr="00AE3F0D">
              <w:rPr>
                <w:rFonts w:ascii="Times New Roman" w:eastAsia="Times New Roman" w:hAnsi="Times New Roman" w:cs="Times New Roman"/>
                <w:b/>
                <w:bCs/>
                <w:color w:val="000000"/>
                <w:sz w:val="24"/>
                <w:szCs w:val="24"/>
                <w:lang w:val="en-IN" w:eastAsia="en-GB"/>
              </w:rPr>
              <w:t>Key Insight</w:t>
            </w:r>
          </w:p>
        </w:tc>
        <w:tc>
          <w:tcPr>
            <w:tcW w:w="0" w:type="auto"/>
            <w:vAlign w:val="center"/>
            <w:hideMark/>
          </w:tcPr>
          <w:p w14:paraId="36401679" w14:textId="77777777" w:rsidR="00AE3F0D" w:rsidRPr="00AE3F0D" w:rsidRDefault="00AE3F0D" w:rsidP="00AE3F0D">
            <w:pPr>
              <w:spacing w:after="0" w:line="240" w:lineRule="auto"/>
              <w:jc w:val="center"/>
              <w:rPr>
                <w:rFonts w:ascii="Times New Roman" w:eastAsia="Times New Roman" w:hAnsi="Times New Roman" w:cs="Times New Roman"/>
                <w:b/>
                <w:bCs/>
                <w:color w:val="000000"/>
                <w:sz w:val="24"/>
                <w:szCs w:val="24"/>
                <w:lang w:val="en-IN" w:eastAsia="en-GB"/>
              </w:rPr>
            </w:pPr>
            <w:r w:rsidRPr="00AE3F0D">
              <w:rPr>
                <w:rFonts w:ascii="Times New Roman" w:eastAsia="Times New Roman" w:hAnsi="Times New Roman" w:cs="Times New Roman"/>
                <w:b/>
                <w:bCs/>
                <w:color w:val="000000"/>
                <w:sz w:val="24"/>
                <w:szCs w:val="24"/>
                <w:lang w:val="en-IN" w:eastAsia="en-GB"/>
              </w:rPr>
              <w:t>Customer Segment</w:t>
            </w:r>
          </w:p>
        </w:tc>
        <w:tc>
          <w:tcPr>
            <w:tcW w:w="0" w:type="auto"/>
            <w:vAlign w:val="center"/>
            <w:hideMark/>
          </w:tcPr>
          <w:p w14:paraId="53AAF167" w14:textId="77777777" w:rsidR="00AE3F0D" w:rsidRPr="00AE3F0D" w:rsidRDefault="00AE3F0D" w:rsidP="00AE3F0D">
            <w:pPr>
              <w:spacing w:after="0" w:line="240" w:lineRule="auto"/>
              <w:jc w:val="center"/>
              <w:rPr>
                <w:rFonts w:ascii="Times New Roman" w:eastAsia="Times New Roman" w:hAnsi="Times New Roman" w:cs="Times New Roman"/>
                <w:b/>
                <w:bCs/>
                <w:color w:val="000000"/>
                <w:sz w:val="24"/>
                <w:szCs w:val="24"/>
                <w:lang w:val="en-IN" w:eastAsia="en-GB"/>
              </w:rPr>
            </w:pPr>
            <w:r w:rsidRPr="00AE3F0D">
              <w:rPr>
                <w:rFonts w:ascii="Times New Roman" w:eastAsia="Times New Roman" w:hAnsi="Times New Roman" w:cs="Times New Roman"/>
                <w:b/>
                <w:bCs/>
                <w:color w:val="000000"/>
                <w:sz w:val="24"/>
                <w:szCs w:val="24"/>
                <w:lang w:val="en-IN" w:eastAsia="en-GB"/>
              </w:rPr>
              <w:t>Influencing Variables</w:t>
            </w:r>
          </w:p>
        </w:tc>
        <w:tc>
          <w:tcPr>
            <w:tcW w:w="0" w:type="auto"/>
            <w:vAlign w:val="center"/>
            <w:hideMark/>
          </w:tcPr>
          <w:p w14:paraId="5FFBE744" w14:textId="77777777" w:rsidR="00AE3F0D" w:rsidRPr="00AE3F0D" w:rsidRDefault="00AE3F0D" w:rsidP="00AE3F0D">
            <w:pPr>
              <w:spacing w:after="0" w:line="240" w:lineRule="auto"/>
              <w:jc w:val="center"/>
              <w:rPr>
                <w:rFonts w:ascii="Times New Roman" w:eastAsia="Times New Roman" w:hAnsi="Times New Roman" w:cs="Times New Roman"/>
                <w:b/>
                <w:bCs/>
                <w:color w:val="000000"/>
                <w:sz w:val="24"/>
                <w:szCs w:val="24"/>
                <w:lang w:val="en-IN" w:eastAsia="en-GB"/>
              </w:rPr>
            </w:pPr>
            <w:r w:rsidRPr="00AE3F0D">
              <w:rPr>
                <w:rFonts w:ascii="Times New Roman" w:eastAsia="Times New Roman" w:hAnsi="Times New Roman" w:cs="Times New Roman"/>
                <w:b/>
                <w:bCs/>
                <w:color w:val="000000"/>
                <w:sz w:val="24"/>
                <w:szCs w:val="24"/>
                <w:lang w:val="en-IN" w:eastAsia="en-GB"/>
              </w:rPr>
              <w:t>Potential Impact</w:t>
            </w:r>
          </w:p>
        </w:tc>
      </w:tr>
      <w:tr w:rsidR="00AE3F0D" w:rsidRPr="00AE3F0D" w14:paraId="3530F7C1" w14:textId="77777777" w:rsidTr="00AE3F0D">
        <w:trPr>
          <w:tblCellSpacing w:w="15" w:type="dxa"/>
        </w:trPr>
        <w:tc>
          <w:tcPr>
            <w:tcW w:w="0" w:type="auto"/>
            <w:vAlign w:val="center"/>
            <w:hideMark/>
          </w:tcPr>
          <w:p w14:paraId="0D6C65E1" w14:textId="77777777" w:rsidR="00AE3F0D" w:rsidRPr="00AE3F0D" w:rsidRDefault="00AE3F0D" w:rsidP="00AE3F0D">
            <w:pPr>
              <w:spacing w:after="0" w:line="240" w:lineRule="auto"/>
              <w:rPr>
                <w:rFonts w:ascii="Times New Roman" w:eastAsia="Times New Roman" w:hAnsi="Times New Roman" w:cs="Times New Roman"/>
                <w:color w:val="000000"/>
                <w:sz w:val="24"/>
                <w:szCs w:val="24"/>
                <w:lang w:val="en-IN" w:eastAsia="en-GB"/>
              </w:rPr>
            </w:pPr>
            <w:r w:rsidRPr="00AE3F0D">
              <w:rPr>
                <w:rFonts w:ascii="Times New Roman" w:eastAsia="Times New Roman" w:hAnsi="Times New Roman" w:cs="Times New Roman"/>
                <w:color w:val="000000"/>
                <w:sz w:val="24"/>
                <w:szCs w:val="24"/>
                <w:lang w:val="en-IN" w:eastAsia="en-GB"/>
              </w:rPr>
              <w:t>Customers with high credit utilization have the highest delinquency risk.</w:t>
            </w:r>
          </w:p>
        </w:tc>
        <w:tc>
          <w:tcPr>
            <w:tcW w:w="0" w:type="auto"/>
            <w:vAlign w:val="center"/>
            <w:hideMark/>
          </w:tcPr>
          <w:p w14:paraId="128D18EC" w14:textId="77777777" w:rsidR="00AE3F0D" w:rsidRPr="00AE3F0D" w:rsidRDefault="00AE3F0D" w:rsidP="00AE3F0D">
            <w:pPr>
              <w:spacing w:after="0" w:line="240" w:lineRule="auto"/>
              <w:rPr>
                <w:rFonts w:ascii="Times New Roman" w:eastAsia="Times New Roman" w:hAnsi="Times New Roman" w:cs="Times New Roman"/>
                <w:color w:val="000000"/>
                <w:sz w:val="24"/>
                <w:szCs w:val="24"/>
                <w:lang w:val="en-IN" w:eastAsia="en-GB"/>
              </w:rPr>
            </w:pPr>
            <w:r w:rsidRPr="00AE3F0D">
              <w:rPr>
                <w:rFonts w:ascii="Times New Roman" w:eastAsia="Times New Roman" w:hAnsi="Times New Roman" w:cs="Times New Roman"/>
                <w:color w:val="000000"/>
                <w:sz w:val="24"/>
                <w:szCs w:val="24"/>
                <w:lang w:val="en-IN" w:eastAsia="en-GB"/>
              </w:rPr>
              <w:t>Customers using more than 80% of available credit.</w:t>
            </w:r>
          </w:p>
        </w:tc>
        <w:tc>
          <w:tcPr>
            <w:tcW w:w="0" w:type="auto"/>
            <w:vAlign w:val="center"/>
            <w:hideMark/>
          </w:tcPr>
          <w:p w14:paraId="4A01C158" w14:textId="77777777" w:rsidR="00AE3F0D" w:rsidRPr="00AE3F0D" w:rsidRDefault="00AE3F0D" w:rsidP="00AE3F0D">
            <w:pPr>
              <w:spacing w:after="0" w:line="240" w:lineRule="auto"/>
              <w:rPr>
                <w:rFonts w:ascii="Times New Roman" w:eastAsia="Times New Roman" w:hAnsi="Times New Roman" w:cs="Times New Roman"/>
                <w:color w:val="000000"/>
                <w:sz w:val="24"/>
                <w:szCs w:val="24"/>
                <w:lang w:val="en-IN" w:eastAsia="en-GB"/>
              </w:rPr>
            </w:pPr>
            <w:r w:rsidRPr="00AE3F0D">
              <w:rPr>
                <w:rFonts w:ascii="Times New Roman" w:eastAsia="Times New Roman" w:hAnsi="Times New Roman" w:cs="Times New Roman"/>
                <w:color w:val="000000"/>
                <w:sz w:val="24"/>
                <w:szCs w:val="24"/>
                <w:lang w:val="en-IN" w:eastAsia="en-GB"/>
              </w:rPr>
              <w:t>Credit Utilization, Debt-to-Income Ratio</w:t>
            </w:r>
          </w:p>
        </w:tc>
        <w:tc>
          <w:tcPr>
            <w:tcW w:w="0" w:type="auto"/>
            <w:vAlign w:val="center"/>
            <w:hideMark/>
          </w:tcPr>
          <w:p w14:paraId="40631BDE" w14:textId="77777777" w:rsidR="00AE3F0D" w:rsidRPr="00AE3F0D" w:rsidRDefault="00AE3F0D" w:rsidP="00AE3F0D">
            <w:pPr>
              <w:spacing w:after="0" w:line="240" w:lineRule="auto"/>
              <w:rPr>
                <w:rFonts w:ascii="Times New Roman" w:eastAsia="Times New Roman" w:hAnsi="Times New Roman" w:cs="Times New Roman"/>
                <w:color w:val="000000"/>
                <w:sz w:val="24"/>
                <w:szCs w:val="24"/>
                <w:lang w:val="en-IN" w:eastAsia="en-GB"/>
              </w:rPr>
            </w:pPr>
            <w:r w:rsidRPr="00AE3F0D">
              <w:rPr>
                <w:rFonts w:ascii="Times New Roman" w:eastAsia="Times New Roman" w:hAnsi="Times New Roman" w:cs="Times New Roman"/>
                <w:color w:val="000000"/>
                <w:sz w:val="24"/>
                <w:szCs w:val="24"/>
                <w:lang w:val="en-IN" w:eastAsia="en-GB"/>
              </w:rPr>
              <w:t>Prioritize these customers for early payment reminders and proactive collection strategies.</w:t>
            </w:r>
          </w:p>
        </w:tc>
      </w:tr>
      <w:tr w:rsidR="00AE3F0D" w:rsidRPr="00AE3F0D" w14:paraId="70BF6BE8" w14:textId="77777777" w:rsidTr="00AE3F0D">
        <w:trPr>
          <w:tblCellSpacing w:w="15" w:type="dxa"/>
        </w:trPr>
        <w:tc>
          <w:tcPr>
            <w:tcW w:w="0" w:type="auto"/>
            <w:vAlign w:val="center"/>
            <w:hideMark/>
          </w:tcPr>
          <w:p w14:paraId="329D745E" w14:textId="77777777" w:rsidR="00AE3F0D" w:rsidRPr="00AE3F0D" w:rsidRDefault="00AE3F0D" w:rsidP="00AE3F0D">
            <w:pPr>
              <w:spacing w:after="0" w:line="240" w:lineRule="auto"/>
              <w:rPr>
                <w:rFonts w:ascii="Times New Roman" w:eastAsia="Times New Roman" w:hAnsi="Times New Roman" w:cs="Times New Roman"/>
                <w:color w:val="000000"/>
                <w:sz w:val="24"/>
                <w:szCs w:val="24"/>
                <w:lang w:val="en-IN" w:eastAsia="en-GB"/>
              </w:rPr>
            </w:pPr>
            <w:r w:rsidRPr="00AE3F0D">
              <w:rPr>
                <w:rFonts w:ascii="Times New Roman" w:eastAsia="Times New Roman" w:hAnsi="Times New Roman" w:cs="Times New Roman"/>
                <w:color w:val="000000"/>
                <w:sz w:val="24"/>
                <w:szCs w:val="24"/>
                <w:lang w:val="en-IN" w:eastAsia="en-GB"/>
              </w:rPr>
              <w:t>Customers with poor repayment history are more likely to default.</w:t>
            </w:r>
          </w:p>
        </w:tc>
        <w:tc>
          <w:tcPr>
            <w:tcW w:w="0" w:type="auto"/>
            <w:vAlign w:val="center"/>
            <w:hideMark/>
          </w:tcPr>
          <w:p w14:paraId="5D85F80A" w14:textId="77777777" w:rsidR="00AE3F0D" w:rsidRPr="00AE3F0D" w:rsidRDefault="00AE3F0D" w:rsidP="00AE3F0D">
            <w:pPr>
              <w:spacing w:after="0" w:line="240" w:lineRule="auto"/>
              <w:rPr>
                <w:rFonts w:ascii="Times New Roman" w:eastAsia="Times New Roman" w:hAnsi="Times New Roman" w:cs="Times New Roman"/>
                <w:color w:val="000000"/>
                <w:sz w:val="24"/>
                <w:szCs w:val="24"/>
                <w:lang w:val="en-IN" w:eastAsia="en-GB"/>
              </w:rPr>
            </w:pPr>
            <w:r w:rsidRPr="00AE3F0D">
              <w:rPr>
                <w:rFonts w:ascii="Times New Roman" w:eastAsia="Times New Roman" w:hAnsi="Times New Roman" w:cs="Times New Roman"/>
                <w:color w:val="000000"/>
                <w:sz w:val="24"/>
                <w:szCs w:val="24"/>
                <w:lang w:val="en-IN" w:eastAsia="en-GB"/>
              </w:rPr>
              <w:t>Customers with multiple missed payments.</w:t>
            </w:r>
          </w:p>
        </w:tc>
        <w:tc>
          <w:tcPr>
            <w:tcW w:w="0" w:type="auto"/>
            <w:vAlign w:val="center"/>
            <w:hideMark/>
          </w:tcPr>
          <w:p w14:paraId="778972D1" w14:textId="77777777" w:rsidR="00AE3F0D" w:rsidRPr="00AE3F0D" w:rsidRDefault="00AE3F0D" w:rsidP="00AE3F0D">
            <w:pPr>
              <w:spacing w:after="0" w:line="240" w:lineRule="auto"/>
              <w:rPr>
                <w:rFonts w:ascii="Times New Roman" w:eastAsia="Times New Roman" w:hAnsi="Times New Roman" w:cs="Times New Roman"/>
                <w:color w:val="000000"/>
                <w:sz w:val="24"/>
                <w:szCs w:val="24"/>
                <w:lang w:val="en-IN" w:eastAsia="en-GB"/>
              </w:rPr>
            </w:pPr>
            <w:r w:rsidRPr="00AE3F0D">
              <w:rPr>
                <w:rFonts w:ascii="Times New Roman" w:eastAsia="Times New Roman" w:hAnsi="Times New Roman" w:cs="Times New Roman"/>
                <w:color w:val="000000"/>
                <w:sz w:val="24"/>
                <w:szCs w:val="24"/>
                <w:lang w:val="en-IN" w:eastAsia="en-GB"/>
              </w:rPr>
              <w:t>Missed Payments, Credit Score</w:t>
            </w:r>
          </w:p>
        </w:tc>
        <w:tc>
          <w:tcPr>
            <w:tcW w:w="0" w:type="auto"/>
            <w:vAlign w:val="center"/>
            <w:hideMark/>
          </w:tcPr>
          <w:p w14:paraId="6F06BE4C" w14:textId="77777777" w:rsidR="00AE3F0D" w:rsidRPr="00AE3F0D" w:rsidRDefault="00AE3F0D" w:rsidP="00AE3F0D">
            <w:pPr>
              <w:spacing w:after="0" w:line="240" w:lineRule="auto"/>
              <w:rPr>
                <w:rFonts w:ascii="Times New Roman" w:eastAsia="Times New Roman" w:hAnsi="Times New Roman" w:cs="Times New Roman"/>
                <w:color w:val="000000"/>
                <w:sz w:val="24"/>
                <w:szCs w:val="24"/>
                <w:lang w:val="en-IN" w:eastAsia="en-GB"/>
              </w:rPr>
            </w:pPr>
            <w:r w:rsidRPr="00AE3F0D">
              <w:rPr>
                <w:rFonts w:ascii="Times New Roman" w:eastAsia="Times New Roman" w:hAnsi="Times New Roman" w:cs="Times New Roman"/>
                <w:color w:val="000000"/>
                <w:sz w:val="24"/>
                <w:szCs w:val="24"/>
                <w:lang w:val="en-IN" w:eastAsia="en-GB"/>
              </w:rPr>
              <w:t>Begin early intervention programs before accounts become seriously delinquent.</w:t>
            </w:r>
          </w:p>
        </w:tc>
      </w:tr>
      <w:tr w:rsidR="00AE3F0D" w:rsidRPr="00AE3F0D" w14:paraId="6F088D68" w14:textId="77777777" w:rsidTr="00AE3F0D">
        <w:trPr>
          <w:tblCellSpacing w:w="15" w:type="dxa"/>
        </w:trPr>
        <w:tc>
          <w:tcPr>
            <w:tcW w:w="0" w:type="auto"/>
            <w:vAlign w:val="center"/>
            <w:hideMark/>
          </w:tcPr>
          <w:p w14:paraId="7A9B9EAF" w14:textId="77777777" w:rsidR="00AE3F0D" w:rsidRPr="00AE3F0D" w:rsidRDefault="00AE3F0D" w:rsidP="00AE3F0D">
            <w:pPr>
              <w:spacing w:after="0" w:line="240" w:lineRule="auto"/>
              <w:rPr>
                <w:rFonts w:ascii="Times New Roman" w:eastAsia="Times New Roman" w:hAnsi="Times New Roman" w:cs="Times New Roman"/>
                <w:color w:val="000000"/>
                <w:sz w:val="24"/>
                <w:szCs w:val="24"/>
                <w:lang w:val="en-IN" w:eastAsia="en-GB"/>
              </w:rPr>
            </w:pPr>
            <w:r w:rsidRPr="00AE3F0D">
              <w:rPr>
                <w:rFonts w:ascii="Times New Roman" w:eastAsia="Times New Roman" w:hAnsi="Times New Roman" w:cs="Times New Roman"/>
                <w:color w:val="000000"/>
                <w:sz w:val="24"/>
                <w:szCs w:val="24"/>
                <w:lang w:val="en-IN" w:eastAsia="en-GB"/>
              </w:rPr>
              <w:t>Customers with weak financial profiles require closer monitoring.</w:t>
            </w:r>
          </w:p>
        </w:tc>
        <w:tc>
          <w:tcPr>
            <w:tcW w:w="0" w:type="auto"/>
            <w:vAlign w:val="center"/>
            <w:hideMark/>
          </w:tcPr>
          <w:p w14:paraId="3F23A612" w14:textId="77777777" w:rsidR="00AE3F0D" w:rsidRPr="00AE3F0D" w:rsidRDefault="00AE3F0D" w:rsidP="00AE3F0D">
            <w:pPr>
              <w:spacing w:after="0" w:line="240" w:lineRule="auto"/>
              <w:rPr>
                <w:rFonts w:ascii="Times New Roman" w:eastAsia="Times New Roman" w:hAnsi="Times New Roman" w:cs="Times New Roman"/>
                <w:color w:val="000000"/>
                <w:sz w:val="24"/>
                <w:szCs w:val="24"/>
                <w:lang w:val="en-IN" w:eastAsia="en-GB"/>
              </w:rPr>
            </w:pPr>
            <w:r w:rsidRPr="00AE3F0D">
              <w:rPr>
                <w:rFonts w:ascii="Times New Roman" w:eastAsia="Times New Roman" w:hAnsi="Times New Roman" w:cs="Times New Roman"/>
                <w:color w:val="000000"/>
                <w:sz w:val="24"/>
                <w:szCs w:val="24"/>
                <w:lang w:val="en-IN" w:eastAsia="en-GB"/>
              </w:rPr>
              <w:t>Customers with low credit scores and high loan balances.</w:t>
            </w:r>
          </w:p>
        </w:tc>
        <w:tc>
          <w:tcPr>
            <w:tcW w:w="0" w:type="auto"/>
            <w:vAlign w:val="center"/>
            <w:hideMark/>
          </w:tcPr>
          <w:p w14:paraId="55A6DC2D" w14:textId="77777777" w:rsidR="00AE3F0D" w:rsidRPr="00AE3F0D" w:rsidRDefault="00AE3F0D" w:rsidP="00AE3F0D">
            <w:pPr>
              <w:spacing w:after="0" w:line="240" w:lineRule="auto"/>
              <w:rPr>
                <w:rFonts w:ascii="Times New Roman" w:eastAsia="Times New Roman" w:hAnsi="Times New Roman" w:cs="Times New Roman"/>
                <w:color w:val="000000"/>
                <w:sz w:val="24"/>
                <w:szCs w:val="24"/>
                <w:lang w:val="en-IN" w:eastAsia="en-GB"/>
              </w:rPr>
            </w:pPr>
            <w:r w:rsidRPr="00AE3F0D">
              <w:rPr>
                <w:rFonts w:ascii="Times New Roman" w:eastAsia="Times New Roman" w:hAnsi="Times New Roman" w:cs="Times New Roman"/>
                <w:color w:val="000000"/>
                <w:sz w:val="24"/>
                <w:szCs w:val="24"/>
                <w:lang w:val="en-IN" w:eastAsia="en-GB"/>
              </w:rPr>
              <w:t>Credit Score, Loan Balance, Income</w:t>
            </w:r>
          </w:p>
        </w:tc>
        <w:tc>
          <w:tcPr>
            <w:tcW w:w="0" w:type="auto"/>
            <w:vAlign w:val="center"/>
            <w:hideMark/>
          </w:tcPr>
          <w:p w14:paraId="7D5989CE" w14:textId="77777777" w:rsidR="00AE3F0D" w:rsidRPr="00AE3F0D" w:rsidRDefault="00AE3F0D" w:rsidP="00AE3F0D">
            <w:pPr>
              <w:spacing w:after="0" w:line="240" w:lineRule="auto"/>
              <w:rPr>
                <w:rFonts w:ascii="Times New Roman" w:eastAsia="Times New Roman" w:hAnsi="Times New Roman" w:cs="Times New Roman"/>
                <w:color w:val="000000"/>
                <w:sz w:val="24"/>
                <w:szCs w:val="24"/>
                <w:lang w:val="en-IN" w:eastAsia="en-GB"/>
              </w:rPr>
            </w:pPr>
            <w:r w:rsidRPr="00AE3F0D">
              <w:rPr>
                <w:rFonts w:ascii="Times New Roman" w:eastAsia="Times New Roman" w:hAnsi="Times New Roman" w:cs="Times New Roman"/>
                <w:color w:val="000000"/>
                <w:sz w:val="24"/>
                <w:szCs w:val="24"/>
                <w:lang w:val="en-IN" w:eastAsia="en-GB"/>
              </w:rPr>
              <w:t>Improve risk monitoring and adjust credit management strategies accordingly.</w:t>
            </w:r>
          </w:p>
        </w:tc>
      </w:tr>
    </w:tbl>
    <w:p w14:paraId="60F471FE" w14:textId="56B4B602" w:rsidR="007D72C2" w:rsidRDefault="007D72C2">
      <w:pPr>
        <w:rPr>
          <w:rFonts w:ascii="Arial" w:hAnsi="Arial" w:cs="Arial"/>
          <w:color w:val="000000" w:themeColor="text1"/>
        </w:rPr>
      </w:pPr>
    </w:p>
    <w:p w14:paraId="50978634" w14:textId="77777777" w:rsidR="00A537D1" w:rsidRPr="00A537D1" w:rsidRDefault="00A537D1">
      <w:pPr>
        <w:rPr>
          <w:rFonts w:ascii="Arial" w:hAnsi="Arial" w:cs="Arial"/>
          <w:color w:val="000000" w:themeColor="text1"/>
        </w:rPr>
      </w:pPr>
    </w:p>
    <w:p w14:paraId="72833B3F"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lastRenderedPageBreak/>
        <w:t>2. Recommendation Framework</w:t>
      </w:r>
    </w:p>
    <w:p w14:paraId="1E668052" w14:textId="77777777" w:rsidR="00AE3F0D" w:rsidRDefault="00AE3F0D" w:rsidP="00AE3F0D">
      <w:pPr>
        <w:pStyle w:val="Heading3"/>
        <w:rPr>
          <w:color w:val="000000"/>
        </w:rPr>
      </w:pPr>
      <w:r>
        <w:rPr>
          <w:color w:val="000000"/>
        </w:rPr>
        <w:t>Restated Insight</w:t>
      </w:r>
    </w:p>
    <w:p w14:paraId="5D5599F6" w14:textId="77777777" w:rsidR="00AE3F0D" w:rsidRDefault="00AE3F0D" w:rsidP="00AE3F0D">
      <w:pPr>
        <w:pStyle w:val="NormalWeb"/>
        <w:rPr>
          <w:color w:val="000000"/>
        </w:rPr>
      </w:pPr>
      <w:r>
        <w:rPr>
          <w:color w:val="000000"/>
        </w:rPr>
        <w:t>The Decision Tree model shows that customers with</w:t>
      </w:r>
      <w:r>
        <w:rPr>
          <w:rStyle w:val="apple-converted-space"/>
          <w:color w:val="000000"/>
        </w:rPr>
        <w:t> </w:t>
      </w:r>
      <w:r>
        <w:rPr>
          <w:rStyle w:val="Strong"/>
          <w:color w:val="000000"/>
        </w:rPr>
        <w:t>high credit utilization and multiple missed payments</w:t>
      </w:r>
      <w:r>
        <w:rPr>
          <w:rStyle w:val="apple-converted-space"/>
          <w:color w:val="000000"/>
        </w:rPr>
        <w:t> </w:t>
      </w:r>
      <w:r>
        <w:rPr>
          <w:color w:val="000000"/>
        </w:rPr>
        <w:t>have the greatest likelihood of becoming delinquent.</w:t>
      </w:r>
    </w:p>
    <w:p w14:paraId="380059D8" w14:textId="77777777" w:rsidR="00AE3F0D" w:rsidRDefault="00AE3F0D" w:rsidP="00AE3F0D">
      <w:pPr>
        <w:pStyle w:val="Heading3"/>
        <w:rPr>
          <w:color w:val="000000"/>
        </w:rPr>
      </w:pPr>
      <w:r>
        <w:rPr>
          <w:color w:val="000000"/>
        </w:rPr>
        <w:t>Proposed Recommendation</w:t>
      </w:r>
    </w:p>
    <w:p w14:paraId="00838765" w14:textId="77777777" w:rsidR="00AE3F0D" w:rsidRDefault="00AE3F0D" w:rsidP="00AE3F0D">
      <w:pPr>
        <w:pStyle w:val="NormalWeb"/>
        <w:rPr>
          <w:color w:val="000000"/>
        </w:rPr>
      </w:pPr>
      <w:r>
        <w:rPr>
          <w:color w:val="000000"/>
        </w:rPr>
        <w:t>Implement an</w:t>
      </w:r>
      <w:r>
        <w:rPr>
          <w:rStyle w:val="apple-converted-space"/>
          <w:color w:val="000000"/>
        </w:rPr>
        <w:t> </w:t>
      </w:r>
      <w:r>
        <w:rPr>
          <w:rStyle w:val="Strong"/>
          <w:color w:val="000000"/>
        </w:rPr>
        <w:t>Early Risk Monitoring and Customer Outreach Program</w:t>
      </w:r>
      <w:r>
        <w:rPr>
          <w:rStyle w:val="apple-converted-space"/>
          <w:color w:val="000000"/>
        </w:rPr>
        <w:t> </w:t>
      </w:r>
      <w:r>
        <w:rPr>
          <w:color w:val="000000"/>
        </w:rPr>
        <w:t>that identifies high-risk customers before they become delinquent.</w:t>
      </w:r>
    </w:p>
    <w:p w14:paraId="50EDCB96" w14:textId="77777777" w:rsidR="00AE3F0D" w:rsidRDefault="00AE3F0D" w:rsidP="00AE3F0D">
      <w:pPr>
        <w:pStyle w:val="Heading3"/>
        <w:rPr>
          <w:color w:val="000000"/>
        </w:rPr>
      </w:pPr>
      <w:r>
        <w:rPr>
          <w:color w:val="000000"/>
        </w:rPr>
        <w:t>SMART Recommendation</w:t>
      </w:r>
    </w:p>
    <w:p w14:paraId="4DA8258A" w14:textId="77777777" w:rsidR="00AE3F0D" w:rsidRDefault="00AE3F0D" w:rsidP="00AE3F0D">
      <w:pPr>
        <w:pStyle w:val="NormalWeb"/>
        <w:rPr>
          <w:color w:val="000000"/>
        </w:rPr>
      </w:pPr>
      <w:r>
        <w:rPr>
          <w:rStyle w:val="Strong"/>
          <w:color w:val="000000"/>
        </w:rPr>
        <w:t>Specific</w:t>
      </w:r>
    </w:p>
    <w:p w14:paraId="46B50197" w14:textId="77777777" w:rsidR="00AE3F0D" w:rsidRDefault="00AE3F0D" w:rsidP="00AE3F0D">
      <w:pPr>
        <w:numPr>
          <w:ilvl w:val="0"/>
          <w:numId w:val="11"/>
        </w:numPr>
        <w:spacing w:before="100" w:beforeAutospacing="1" w:after="100" w:afterAutospacing="1" w:line="240" w:lineRule="auto"/>
        <w:rPr>
          <w:color w:val="000000"/>
        </w:rPr>
      </w:pPr>
      <w:r>
        <w:rPr>
          <w:color w:val="000000"/>
        </w:rPr>
        <w:t>Automatically identify customers with</w:t>
      </w:r>
      <w:r>
        <w:rPr>
          <w:rStyle w:val="apple-converted-space"/>
          <w:color w:val="000000"/>
        </w:rPr>
        <w:t> </w:t>
      </w:r>
      <w:r>
        <w:rPr>
          <w:rStyle w:val="Strong"/>
          <w:color w:val="000000"/>
        </w:rPr>
        <w:t>Credit Utilization above 80%</w:t>
      </w:r>
      <w:r>
        <w:rPr>
          <w:rStyle w:val="apple-converted-space"/>
          <w:color w:val="000000"/>
        </w:rPr>
        <w:t> </w:t>
      </w:r>
      <w:r>
        <w:rPr>
          <w:color w:val="000000"/>
        </w:rPr>
        <w:t>or</w:t>
      </w:r>
      <w:r>
        <w:rPr>
          <w:rStyle w:val="apple-converted-space"/>
          <w:color w:val="000000"/>
        </w:rPr>
        <w:t> </w:t>
      </w:r>
      <w:r>
        <w:rPr>
          <w:rStyle w:val="Strong"/>
          <w:color w:val="000000"/>
        </w:rPr>
        <w:t>two or more missed payments</w:t>
      </w:r>
      <w:r>
        <w:rPr>
          <w:rStyle w:val="apple-converted-space"/>
          <w:color w:val="000000"/>
        </w:rPr>
        <w:t> </w:t>
      </w:r>
      <w:r>
        <w:rPr>
          <w:color w:val="000000"/>
        </w:rPr>
        <w:t>and send personalized payment reminders and financial support options.</w:t>
      </w:r>
    </w:p>
    <w:p w14:paraId="290ACB42" w14:textId="77777777" w:rsidR="00AE3F0D" w:rsidRDefault="00AE3F0D" w:rsidP="00AE3F0D">
      <w:pPr>
        <w:pStyle w:val="NormalWeb"/>
        <w:rPr>
          <w:color w:val="000000"/>
        </w:rPr>
      </w:pPr>
      <w:r>
        <w:rPr>
          <w:rStyle w:val="Strong"/>
          <w:color w:val="000000"/>
        </w:rPr>
        <w:t>Measurable</w:t>
      </w:r>
    </w:p>
    <w:p w14:paraId="1E246ECE" w14:textId="77777777" w:rsidR="00AE3F0D" w:rsidRDefault="00AE3F0D" w:rsidP="00AE3F0D">
      <w:pPr>
        <w:numPr>
          <w:ilvl w:val="0"/>
          <w:numId w:val="12"/>
        </w:numPr>
        <w:spacing w:before="100" w:beforeAutospacing="1" w:after="100" w:afterAutospacing="1" w:line="240" w:lineRule="auto"/>
        <w:rPr>
          <w:color w:val="000000"/>
        </w:rPr>
      </w:pPr>
      <w:r>
        <w:rPr>
          <w:color w:val="000000"/>
        </w:rPr>
        <w:t>Reduce the delinquency rate among high-risk customers by</w:t>
      </w:r>
      <w:r>
        <w:rPr>
          <w:rStyle w:val="apple-converted-space"/>
          <w:color w:val="000000"/>
        </w:rPr>
        <w:t> </w:t>
      </w:r>
      <w:r>
        <w:rPr>
          <w:rStyle w:val="Strong"/>
          <w:color w:val="000000"/>
        </w:rPr>
        <w:t>15% within six months</w:t>
      </w:r>
      <w:r>
        <w:rPr>
          <w:color w:val="000000"/>
        </w:rPr>
        <w:t>.</w:t>
      </w:r>
    </w:p>
    <w:p w14:paraId="76BBA7C7" w14:textId="77777777" w:rsidR="00AE3F0D" w:rsidRDefault="00AE3F0D" w:rsidP="00AE3F0D">
      <w:pPr>
        <w:numPr>
          <w:ilvl w:val="0"/>
          <w:numId w:val="12"/>
        </w:numPr>
        <w:spacing w:before="100" w:beforeAutospacing="1" w:after="100" w:afterAutospacing="1" w:line="240" w:lineRule="auto"/>
        <w:rPr>
          <w:color w:val="000000"/>
        </w:rPr>
      </w:pPr>
      <w:r>
        <w:rPr>
          <w:color w:val="000000"/>
        </w:rPr>
        <w:t>Increase on-time payment rates by</w:t>
      </w:r>
      <w:r>
        <w:rPr>
          <w:rStyle w:val="apple-converted-space"/>
          <w:color w:val="000000"/>
        </w:rPr>
        <w:t> </w:t>
      </w:r>
      <w:r>
        <w:rPr>
          <w:rStyle w:val="Strong"/>
          <w:color w:val="000000"/>
        </w:rPr>
        <w:t>10%</w:t>
      </w:r>
      <w:r>
        <w:rPr>
          <w:color w:val="000000"/>
        </w:rPr>
        <w:t>.</w:t>
      </w:r>
    </w:p>
    <w:p w14:paraId="1820806C" w14:textId="77777777" w:rsidR="00AE3F0D" w:rsidRDefault="00AE3F0D" w:rsidP="00AE3F0D">
      <w:pPr>
        <w:pStyle w:val="NormalWeb"/>
        <w:rPr>
          <w:color w:val="000000"/>
        </w:rPr>
      </w:pPr>
      <w:r>
        <w:rPr>
          <w:rStyle w:val="Strong"/>
          <w:color w:val="000000"/>
        </w:rPr>
        <w:t>Actionable</w:t>
      </w:r>
    </w:p>
    <w:p w14:paraId="31EB5DC4" w14:textId="77777777" w:rsidR="00AE3F0D" w:rsidRDefault="00AE3F0D" w:rsidP="00AE3F0D">
      <w:pPr>
        <w:numPr>
          <w:ilvl w:val="0"/>
          <w:numId w:val="13"/>
        </w:numPr>
        <w:spacing w:before="100" w:beforeAutospacing="1" w:after="100" w:afterAutospacing="1" w:line="240" w:lineRule="auto"/>
        <w:rPr>
          <w:color w:val="000000"/>
        </w:rPr>
      </w:pPr>
      <w:r>
        <w:rPr>
          <w:color w:val="000000"/>
        </w:rPr>
        <w:t>Integrate the Decision Tree model into the collections system to generate weekly high-risk customer reports.</w:t>
      </w:r>
    </w:p>
    <w:p w14:paraId="2D78FA53" w14:textId="77777777" w:rsidR="00AE3F0D" w:rsidRDefault="00AE3F0D" w:rsidP="00AE3F0D">
      <w:pPr>
        <w:numPr>
          <w:ilvl w:val="0"/>
          <w:numId w:val="13"/>
        </w:numPr>
        <w:spacing w:before="100" w:beforeAutospacing="1" w:after="100" w:afterAutospacing="1" w:line="240" w:lineRule="auto"/>
        <w:rPr>
          <w:color w:val="000000"/>
        </w:rPr>
      </w:pPr>
      <w:r>
        <w:rPr>
          <w:color w:val="000000"/>
        </w:rPr>
        <w:t>Contact high-risk customers through SMS, email, or phone before payment due dates.</w:t>
      </w:r>
    </w:p>
    <w:p w14:paraId="15281EFE" w14:textId="77777777" w:rsidR="00AE3F0D" w:rsidRDefault="00AE3F0D" w:rsidP="00AE3F0D">
      <w:pPr>
        <w:pStyle w:val="NormalWeb"/>
        <w:rPr>
          <w:color w:val="000000"/>
        </w:rPr>
      </w:pPr>
      <w:r>
        <w:rPr>
          <w:rStyle w:val="Strong"/>
          <w:color w:val="000000"/>
        </w:rPr>
        <w:t>Relevant</w:t>
      </w:r>
    </w:p>
    <w:p w14:paraId="3F39ABC6" w14:textId="77777777" w:rsidR="00AE3F0D" w:rsidRDefault="00AE3F0D" w:rsidP="00AE3F0D">
      <w:pPr>
        <w:numPr>
          <w:ilvl w:val="0"/>
          <w:numId w:val="14"/>
        </w:numPr>
        <w:spacing w:before="100" w:beforeAutospacing="1" w:after="100" w:afterAutospacing="1" w:line="240" w:lineRule="auto"/>
        <w:rPr>
          <w:color w:val="000000"/>
        </w:rPr>
      </w:pPr>
      <w:r>
        <w:rPr>
          <w:color w:val="000000"/>
        </w:rPr>
        <w:t xml:space="preserve">Supports </w:t>
      </w:r>
      <w:proofErr w:type="spellStart"/>
      <w:r>
        <w:rPr>
          <w:color w:val="000000"/>
        </w:rPr>
        <w:t>Geldium's</w:t>
      </w:r>
      <w:proofErr w:type="spellEnd"/>
      <w:r>
        <w:rPr>
          <w:color w:val="000000"/>
        </w:rPr>
        <w:t xml:space="preserve"> objective of reducing delinquent accounts, improving collection efficiency, and minimizing financial losses.</w:t>
      </w:r>
    </w:p>
    <w:p w14:paraId="227F98EF" w14:textId="77777777" w:rsidR="00AE3F0D" w:rsidRDefault="00AE3F0D" w:rsidP="00AE3F0D">
      <w:pPr>
        <w:pStyle w:val="NormalWeb"/>
        <w:rPr>
          <w:color w:val="000000"/>
        </w:rPr>
      </w:pPr>
      <w:r>
        <w:rPr>
          <w:rStyle w:val="Strong"/>
          <w:color w:val="000000"/>
        </w:rPr>
        <w:t>Time-bound</w:t>
      </w:r>
    </w:p>
    <w:p w14:paraId="141ABFAD" w14:textId="77777777" w:rsidR="00AE3F0D" w:rsidRDefault="00AE3F0D" w:rsidP="00AE3F0D">
      <w:pPr>
        <w:numPr>
          <w:ilvl w:val="0"/>
          <w:numId w:val="15"/>
        </w:numPr>
        <w:spacing w:before="100" w:beforeAutospacing="1" w:after="100" w:afterAutospacing="1" w:line="240" w:lineRule="auto"/>
        <w:rPr>
          <w:color w:val="000000"/>
        </w:rPr>
      </w:pPr>
      <w:r>
        <w:rPr>
          <w:color w:val="000000"/>
        </w:rPr>
        <w:t>Deploy the monitoring system within</w:t>
      </w:r>
      <w:r>
        <w:rPr>
          <w:rStyle w:val="apple-converted-space"/>
          <w:color w:val="000000"/>
        </w:rPr>
        <w:t> </w:t>
      </w:r>
      <w:r>
        <w:rPr>
          <w:rStyle w:val="Strong"/>
          <w:color w:val="000000"/>
        </w:rPr>
        <w:t>three months</w:t>
      </w:r>
      <w:r>
        <w:rPr>
          <w:rStyle w:val="apple-converted-space"/>
          <w:color w:val="000000"/>
        </w:rPr>
        <w:t> </w:t>
      </w:r>
      <w:r>
        <w:rPr>
          <w:color w:val="000000"/>
        </w:rPr>
        <w:t>and review performance every month for six months.</w:t>
      </w:r>
    </w:p>
    <w:p w14:paraId="613801D3" w14:textId="77777777" w:rsidR="00AE3F0D" w:rsidRDefault="00AE3F0D" w:rsidP="00AE3F0D">
      <w:pPr>
        <w:pStyle w:val="Heading3"/>
        <w:rPr>
          <w:color w:val="000000"/>
        </w:rPr>
      </w:pPr>
      <w:r>
        <w:rPr>
          <w:color w:val="000000"/>
        </w:rPr>
        <w:t>Justification and Business Rationale</w:t>
      </w:r>
    </w:p>
    <w:p w14:paraId="3CAADB69" w14:textId="77777777" w:rsidR="00AE3F0D" w:rsidRDefault="00AE3F0D" w:rsidP="00AE3F0D">
      <w:pPr>
        <w:pStyle w:val="NormalWeb"/>
        <w:rPr>
          <w:color w:val="000000"/>
        </w:rPr>
      </w:pPr>
      <w:r>
        <w:rPr>
          <w:color w:val="000000"/>
        </w:rPr>
        <w:t xml:space="preserve">Early identification of high-risk customers enables </w:t>
      </w:r>
      <w:proofErr w:type="spellStart"/>
      <w:r>
        <w:rPr>
          <w:color w:val="000000"/>
        </w:rPr>
        <w:t>Geldium</w:t>
      </w:r>
      <w:proofErr w:type="spellEnd"/>
      <w:r>
        <w:rPr>
          <w:color w:val="000000"/>
        </w:rPr>
        <w:t xml:space="preserve"> to intervene before accounts become seriously overdue. Proactive communication and targeted collection strategies </w:t>
      </w:r>
      <w:r>
        <w:rPr>
          <w:color w:val="000000"/>
        </w:rPr>
        <w:lastRenderedPageBreak/>
        <w:t>can reduce default rates, improve customer repayment behaviour, lower collection costs, and strengthen overall portfolio performance. The Decision Tree model supports this approach by providing clear and explainable decision rules that help the collections team prioritize customers based on risk.</w:t>
      </w:r>
    </w:p>
    <w:p w14:paraId="08E6A272"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3. Ethical and Responsible AI Considerations</w:t>
      </w:r>
    </w:p>
    <w:p w14:paraId="7F0D0655" w14:textId="77777777" w:rsidR="00AE3F0D" w:rsidRDefault="00AE3F0D" w:rsidP="00AE3F0D">
      <w:pPr>
        <w:pStyle w:val="pdq2pgselectionanchorcontainer"/>
        <w:rPr>
          <w:color w:val="000000"/>
        </w:rPr>
      </w:pPr>
      <w:r>
        <w:rPr>
          <w:color w:val="000000"/>
        </w:rPr>
        <w:t>Although the Decision Tree model improves delinquency prediction, it must be used responsibly to ensure fairness, transparency, and customer trust.</w:t>
      </w:r>
    </w:p>
    <w:p w14:paraId="0FAC83A6" w14:textId="77777777" w:rsidR="00AE3F0D" w:rsidRDefault="00AE3F0D" w:rsidP="00AE3F0D">
      <w:pPr>
        <w:pStyle w:val="Heading3"/>
        <w:rPr>
          <w:color w:val="000000"/>
        </w:rPr>
      </w:pPr>
      <w:r>
        <w:rPr>
          <w:color w:val="000000"/>
        </w:rPr>
        <w:t>Fairness Risk 1</w:t>
      </w:r>
    </w:p>
    <w:p w14:paraId="1EC60EE1" w14:textId="5FB07605" w:rsidR="00AE3F0D" w:rsidRDefault="00AE3F0D" w:rsidP="00AE3F0D">
      <w:pPr>
        <w:pStyle w:val="Heading3"/>
        <w:rPr>
          <w:color w:val="000000"/>
        </w:rPr>
      </w:pPr>
      <w:r>
        <w:rPr>
          <w:color w:val="000000"/>
        </w:rPr>
        <w:t>Some customer groups, such as unemployed or self-employed individuals, may receive higher risk predictions due to income variability rather than actual repayment behaviour.</w:t>
      </w:r>
    </w:p>
    <w:p w14:paraId="2F357EE5" w14:textId="77777777" w:rsidR="00AE3F0D" w:rsidRDefault="00AE3F0D" w:rsidP="00AE3F0D">
      <w:pPr>
        <w:pStyle w:val="NormalWeb"/>
        <w:rPr>
          <w:color w:val="000000"/>
        </w:rPr>
      </w:pPr>
      <w:r>
        <w:rPr>
          <w:rStyle w:val="Strong"/>
          <w:color w:val="000000"/>
        </w:rPr>
        <w:t>Mitigation</w:t>
      </w:r>
    </w:p>
    <w:p w14:paraId="07BEC973" w14:textId="0780509F" w:rsidR="00AE3F0D" w:rsidRPr="00AE3F0D" w:rsidRDefault="00AE3F0D" w:rsidP="00AE3F0D">
      <w:pPr>
        <w:numPr>
          <w:ilvl w:val="0"/>
          <w:numId w:val="16"/>
        </w:numPr>
        <w:spacing w:before="100" w:beforeAutospacing="1" w:after="100" w:afterAutospacing="1" w:line="240" w:lineRule="auto"/>
        <w:rPr>
          <w:color w:val="000000"/>
        </w:rPr>
      </w:pPr>
      <w:r>
        <w:rPr>
          <w:color w:val="000000"/>
        </w:rPr>
        <w:t>Regularly evaluate model performance across different employment groups and ensure that predictions are based on multiple financial indicators rather than a single characteristic.</w:t>
      </w:r>
    </w:p>
    <w:p w14:paraId="3D430364" w14:textId="77777777" w:rsidR="00AE3F0D" w:rsidRDefault="00AE3F0D" w:rsidP="00AE3F0D">
      <w:pPr>
        <w:pStyle w:val="Heading3"/>
        <w:rPr>
          <w:color w:val="000000"/>
        </w:rPr>
      </w:pPr>
      <w:r>
        <w:rPr>
          <w:color w:val="000000"/>
        </w:rPr>
        <w:t>Fairness Risk 2</w:t>
      </w:r>
    </w:p>
    <w:p w14:paraId="4EE5D929" w14:textId="77777777" w:rsidR="00AE3F0D" w:rsidRDefault="00AE3F0D" w:rsidP="00AE3F0D">
      <w:pPr>
        <w:pStyle w:val="NormalWeb"/>
        <w:rPr>
          <w:color w:val="000000"/>
        </w:rPr>
      </w:pPr>
      <w:r>
        <w:rPr>
          <w:color w:val="000000"/>
        </w:rPr>
        <w:t>Historical credit data may contain bias, leading the model to unfairly classify certain customers as high risk.</w:t>
      </w:r>
    </w:p>
    <w:p w14:paraId="62C8DED2" w14:textId="77777777" w:rsidR="00AE3F0D" w:rsidRDefault="00AE3F0D" w:rsidP="00AE3F0D">
      <w:pPr>
        <w:pStyle w:val="NormalWeb"/>
        <w:rPr>
          <w:color w:val="000000"/>
        </w:rPr>
      </w:pPr>
      <w:r>
        <w:rPr>
          <w:rStyle w:val="Strong"/>
          <w:color w:val="000000"/>
        </w:rPr>
        <w:t>Mitigation</w:t>
      </w:r>
    </w:p>
    <w:p w14:paraId="0FCDCF4E" w14:textId="5F41E4EC" w:rsidR="00AE3F0D" w:rsidRPr="00AE3F0D" w:rsidRDefault="00AE3F0D" w:rsidP="00AE3F0D">
      <w:pPr>
        <w:numPr>
          <w:ilvl w:val="0"/>
          <w:numId w:val="17"/>
        </w:numPr>
        <w:spacing w:before="100" w:beforeAutospacing="1" w:after="100" w:afterAutospacing="1" w:line="240" w:lineRule="auto"/>
        <w:rPr>
          <w:color w:val="000000"/>
        </w:rPr>
      </w:pPr>
      <w:r>
        <w:rPr>
          <w:color w:val="000000"/>
        </w:rPr>
        <w:t>Retrain the model using updated and representative datasets, monitor prediction outcomes, and perform periodic bias assessments to ensure fair treatment across customer groups.</w:t>
      </w:r>
    </w:p>
    <w:p w14:paraId="57205EF9" w14:textId="77777777" w:rsidR="00AE3F0D" w:rsidRDefault="00AE3F0D" w:rsidP="00AE3F0D">
      <w:pPr>
        <w:pStyle w:val="Heading3"/>
        <w:rPr>
          <w:color w:val="000000"/>
        </w:rPr>
      </w:pPr>
      <w:r>
        <w:rPr>
          <w:color w:val="000000"/>
        </w:rPr>
        <w:t>Explainability</w:t>
      </w:r>
    </w:p>
    <w:p w14:paraId="4DACB834" w14:textId="6C857683" w:rsidR="00AE3F0D" w:rsidRDefault="00AE3F0D" w:rsidP="00AE3F0D">
      <w:pPr>
        <w:pStyle w:val="Heading3"/>
        <w:rPr>
          <w:color w:val="000000"/>
        </w:rPr>
      </w:pPr>
      <w:r>
        <w:rPr>
          <w:color w:val="000000"/>
        </w:rPr>
        <w:t>The Decision Tree model is highly interpretable because each prediction follows a clear sequence of decision rules. This allows the collections team to explain why a customer was classified as high risk using understandable factors such as credit utilization, credit score, and missed payments.</w:t>
      </w:r>
    </w:p>
    <w:p w14:paraId="76238C76" w14:textId="77777777" w:rsidR="00AE3F0D" w:rsidRDefault="00AE3F0D" w:rsidP="00AE3F0D">
      <w:pPr>
        <w:pStyle w:val="Heading3"/>
        <w:rPr>
          <w:color w:val="000000"/>
        </w:rPr>
      </w:pPr>
      <w:r>
        <w:rPr>
          <w:color w:val="000000"/>
        </w:rPr>
        <w:t>Responsible AI Principles</w:t>
      </w:r>
    </w:p>
    <w:p w14:paraId="4CD08872" w14:textId="77777777" w:rsidR="00AE3F0D" w:rsidRDefault="00AE3F0D" w:rsidP="00AE3F0D">
      <w:pPr>
        <w:numPr>
          <w:ilvl w:val="0"/>
          <w:numId w:val="18"/>
        </w:numPr>
        <w:spacing w:before="100" w:beforeAutospacing="1" w:after="100" w:afterAutospacing="1" w:line="240" w:lineRule="auto"/>
        <w:rPr>
          <w:color w:val="000000"/>
        </w:rPr>
      </w:pPr>
      <w:r>
        <w:rPr>
          <w:color w:val="000000"/>
        </w:rPr>
        <w:t>Protect customer privacy by securely handling financial information.</w:t>
      </w:r>
    </w:p>
    <w:p w14:paraId="770F67BC" w14:textId="77777777" w:rsidR="00AE3F0D" w:rsidRDefault="00AE3F0D" w:rsidP="00AE3F0D">
      <w:pPr>
        <w:numPr>
          <w:ilvl w:val="0"/>
          <w:numId w:val="18"/>
        </w:numPr>
        <w:spacing w:before="100" w:beforeAutospacing="1" w:after="100" w:afterAutospacing="1" w:line="240" w:lineRule="auto"/>
        <w:rPr>
          <w:color w:val="000000"/>
        </w:rPr>
      </w:pPr>
      <w:r>
        <w:rPr>
          <w:color w:val="000000"/>
        </w:rPr>
        <w:t>Maintain transparency by providing understandable reasons for each prediction.</w:t>
      </w:r>
    </w:p>
    <w:p w14:paraId="250B8DD6" w14:textId="77777777" w:rsidR="00AE3F0D" w:rsidRDefault="00AE3F0D" w:rsidP="00AE3F0D">
      <w:pPr>
        <w:numPr>
          <w:ilvl w:val="0"/>
          <w:numId w:val="18"/>
        </w:numPr>
        <w:spacing w:before="100" w:beforeAutospacing="1" w:after="100" w:afterAutospacing="1" w:line="240" w:lineRule="auto"/>
        <w:rPr>
          <w:color w:val="000000"/>
        </w:rPr>
      </w:pPr>
      <w:r>
        <w:rPr>
          <w:color w:val="000000"/>
        </w:rPr>
        <w:t>Ensure accountability through regular model monitoring and validation.</w:t>
      </w:r>
    </w:p>
    <w:p w14:paraId="474D0BDB" w14:textId="77777777" w:rsidR="00AE3F0D" w:rsidRDefault="00AE3F0D" w:rsidP="00AE3F0D">
      <w:pPr>
        <w:numPr>
          <w:ilvl w:val="0"/>
          <w:numId w:val="18"/>
        </w:numPr>
        <w:spacing w:before="100" w:beforeAutospacing="1" w:after="100" w:afterAutospacing="1" w:line="240" w:lineRule="auto"/>
        <w:rPr>
          <w:color w:val="000000"/>
        </w:rPr>
      </w:pPr>
      <w:r>
        <w:rPr>
          <w:color w:val="000000"/>
        </w:rPr>
        <w:t>Periodically retrain the model to maintain fairness, accuracy, and compliance with financial regulations.</w:t>
      </w:r>
    </w:p>
    <w:p w14:paraId="71CCA47A" w14:textId="2B1AA13D" w:rsidR="00AE3F0D" w:rsidRDefault="00AE3F0D" w:rsidP="00AE3F0D">
      <w:pPr>
        <w:spacing w:after="0"/>
        <w:rPr>
          <w:color w:val="000000"/>
        </w:rPr>
      </w:pPr>
    </w:p>
    <w:p w14:paraId="33EC1793" w14:textId="6EE6C2C6" w:rsidR="007D72C2" w:rsidRPr="00A537D1" w:rsidRDefault="007D72C2">
      <w:pPr>
        <w:rPr>
          <w:rFonts w:ascii="Arial" w:hAnsi="Arial" w:cs="Arial"/>
          <w:color w:val="000000" w:themeColor="text1"/>
        </w:rPr>
      </w:pPr>
    </w:p>
    <w:sectPr w:rsidR="007D72C2" w:rsidRPr="00A537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509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42F92"/>
    <w:multiLevelType w:val="multilevel"/>
    <w:tmpl w:val="544E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645B2"/>
    <w:multiLevelType w:val="multilevel"/>
    <w:tmpl w:val="0194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B26EA"/>
    <w:multiLevelType w:val="multilevel"/>
    <w:tmpl w:val="35D8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9226EB"/>
    <w:multiLevelType w:val="multilevel"/>
    <w:tmpl w:val="9D8E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7117F"/>
    <w:multiLevelType w:val="multilevel"/>
    <w:tmpl w:val="E38C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31447"/>
    <w:multiLevelType w:val="multilevel"/>
    <w:tmpl w:val="183A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76411"/>
    <w:multiLevelType w:val="multilevel"/>
    <w:tmpl w:val="3D9E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1B2DE0"/>
    <w:multiLevelType w:val="multilevel"/>
    <w:tmpl w:val="672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1022E"/>
    <w:multiLevelType w:val="multilevel"/>
    <w:tmpl w:val="AFD2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674117">
    <w:abstractNumId w:val="8"/>
  </w:num>
  <w:num w:numId="2" w16cid:durableId="1801531605">
    <w:abstractNumId w:val="6"/>
  </w:num>
  <w:num w:numId="3" w16cid:durableId="486094038">
    <w:abstractNumId w:val="5"/>
  </w:num>
  <w:num w:numId="4" w16cid:durableId="255750852">
    <w:abstractNumId w:val="4"/>
  </w:num>
  <w:num w:numId="5" w16cid:durableId="1951626911">
    <w:abstractNumId w:val="7"/>
  </w:num>
  <w:num w:numId="6" w16cid:durableId="1111168920">
    <w:abstractNumId w:val="3"/>
  </w:num>
  <w:num w:numId="7" w16cid:durableId="124276201">
    <w:abstractNumId w:val="2"/>
  </w:num>
  <w:num w:numId="8" w16cid:durableId="1778476411">
    <w:abstractNumId w:val="1"/>
  </w:num>
  <w:num w:numId="9" w16cid:durableId="1111129504">
    <w:abstractNumId w:val="0"/>
  </w:num>
  <w:num w:numId="10" w16cid:durableId="1753312139">
    <w:abstractNumId w:val="13"/>
  </w:num>
  <w:num w:numId="11" w16cid:durableId="1463886179">
    <w:abstractNumId w:val="10"/>
  </w:num>
  <w:num w:numId="12" w16cid:durableId="1933080702">
    <w:abstractNumId w:val="9"/>
  </w:num>
  <w:num w:numId="13" w16cid:durableId="1869219360">
    <w:abstractNumId w:val="16"/>
  </w:num>
  <w:num w:numId="14" w16cid:durableId="1925996087">
    <w:abstractNumId w:val="12"/>
  </w:num>
  <w:num w:numId="15" w16cid:durableId="1305504637">
    <w:abstractNumId w:val="15"/>
  </w:num>
  <w:num w:numId="16" w16cid:durableId="61300039">
    <w:abstractNumId w:val="17"/>
  </w:num>
  <w:num w:numId="17" w16cid:durableId="872115224">
    <w:abstractNumId w:val="14"/>
  </w:num>
  <w:num w:numId="18" w16cid:durableId="732699100">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3B3"/>
    <w:rsid w:val="00034616"/>
    <w:rsid w:val="0006063C"/>
    <w:rsid w:val="0015074B"/>
    <w:rsid w:val="0029639D"/>
    <w:rsid w:val="00326F90"/>
    <w:rsid w:val="007D72C2"/>
    <w:rsid w:val="008237CA"/>
    <w:rsid w:val="00A537D1"/>
    <w:rsid w:val="00AA1D8D"/>
    <w:rsid w:val="00AE3F0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customStyle="1" w:styleId="pdq2pgselectionanchorcontainer">
    <w:name w:val="pdq2pg_selectionanchorcontainer"/>
    <w:basedOn w:val="Normal"/>
    <w:rsid w:val="00AE3F0D"/>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apple-converted-space">
    <w:name w:val="apple-converted-space"/>
    <w:basedOn w:val="DefaultParagraphFont"/>
    <w:rsid w:val="00AE3F0D"/>
  </w:style>
  <w:style w:type="paragraph" w:styleId="NormalWeb">
    <w:name w:val="Normal (Web)"/>
    <w:basedOn w:val="Normal"/>
    <w:uiPriority w:val="99"/>
    <w:unhideWhenUsed/>
    <w:rsid w:val="00AE3F0D"/>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3</cp:revision>
  <dcterms:created xsi:type="dcterms:W3CDTF">2013-12-23T23:15:00Z</dcterms:created>
  <dcterms:modified xsi:type="dcterms:W3CDTF">2026-08-05T10:28:00Z</dcterms:modified>
  <cp:category/>
</cp:coreProperties>
</file>