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Northwind Remote Work Policy</w:t>
      </w:r>
    </w:p>
    <w:p>
      <w:pPr>
        <w:pStyle w:val="Heading2"/>
      </w:pPr>
      <w:r>
        <w:t>Our hybrid model</w:t>
      </w:r>
    </w:p>
    <w:p>
      <w:r>
        <w:t>Northwind works hybrid. Employees are expected in the Rotterdam office on 2 days per week, and may work remotely on the others.</w:t>
      </w:r>
    </w:p>
    <w:p>
      <w:r>
        <w:t>Teams agree their anchor days together, so that colleagues overlap in the office.</w:t>
      </w:r>
    </w:p>
    <w:p>
      <w:pPr>
        <w:pStyle w:val="Heading2"/>
      </w:pPr>
      <w:r>
        <w:t>Working from abroad</w:t>
      </w:r>
    </w:p>
    <w:p>
      <w:r>
        <w:t>You may work remotely from another country for up to 20 working days per year, with your manager's approval, because tax and social-security rules can apply beyond that. Request it at least 4 weeks ahead.</w:t>
      </w:r>
    </w:p>
    <w:p>
      <w:pPr>
        <w:pStyle w:val="Heading2"/>
      </w:pPr>
      <w:r>
        <w:t>Equipment and home office</w:t>
      </w:r>
    </w:p>
    <w:p>
      <w:r>
        <w:t>Northwind provides a laptop, and a one-time home-office budget of 400 euros for a desk, chair or monitor. Receipts are reimbursed through the expense process.</w:t>
      </w:r>
    </w:p>
    <w:p>
      <w:r>
        <w:t>Internet costs are covered with a monthly allowance of 30 euros for remote-working employees.</w:t>
      </w:r>
    </w:p>
    <w:p>
      <w:pPr>
        <w:pStyle w:val="Heading2"/>
      </w:pPr>
      <w:r>
        <w:t>Security when remote</w:t>
      </w:r>
    </w:p>
    <w:p>
      <w:r>
        <w:t>Use the company VPN on public networks and never work on company data from shared computers. See the IT Security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