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ind w:hanging="0" w:start="0" w:end="0"/>
        <w:jc w:val="start"/>
        <w:rPr>
          <w:rFonts w:ascii="Google Sans;sans-serif" w:hAnsi="Google Sans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sans-serif" w:hAnsi="Google Sans;sans-serif"/>
          <w:b/>
          <w:strike w:val="false"/>
          <w:dstrike w:val="false"/>
          <w:sz w:val="30"/>
          <w:u w:val="none"/>
          <w:effect w:val="none"/>
        </w:rPr>
        <w:t>MANUAL DE USUARIO</w:t>
      </w:r>
    </w:p>
    <w:p>
      <w:pPr>
        <w:pStyle w:val="Normal"/>
        <w:bidi w:val="0"/>
        <w:spacing w:before="360" w:after="180"/>
        <w:ind w:hanging="0" w:start="0" w:end="0"/>
        <w:jc w:val="start"/>
        <w:rPr>
          <w:rFonts w:ascii="Google Sans;sans-serif" w:hAnsi="Google Sans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sans-serif" w:hAnsi="Google Sans;sans-serif"/>
          <w:b/>
          <w:strike w:val="false"/>
          <w:dstrike w:val="false"/>
          <w:sz w:val="30"/>
          <w:u w:val="none"/>
          <w:effect w:val="none"/>
        </w:rPr>
        <w:t>Sistema de Control de Novedades — Colegio N° 5028 "Reyes Católicos"</w:t>
      </w: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Este documento contiene la guía oficial de operación de la plataforma web. El sistema optimiza el registro de legajos, la gestión de cátedras y la tramitación de licencias bajo el </w:t>
      </w: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Decreto Provincial 4118/97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BodyText"/>
        <w:bidi w:val="0"/>
        <w:spacing w:before="360" w:after="180"/>
        <w:ind w:hanging="0" w:start="0" w:end="0"/>
        <w:jc w:val="start"/>
        <w:rPr>
          <w:rFonts w:ascii="Google Sans;sans-serif" w:hAnsi="Google Sans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sans-serif" w:hAnsi="Google Sans;sans-serif"/>
          <w:b/>
          <w:strike w:val="false"/>
          <w:dstrike w:val="false"/>
          <w:sz w:val="30"/>
          <w:u w:val="none"/>
          <w:effect w:val="none"/>
        </w:rPr>
        <w:t>1. Control de Accesos y Seguridad (RBAC)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El ingreso a la plataforma está protegido por un sistema de </w:t>
      </w: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Control de Accesos Basado en Roles (RBAC)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. Las cookies de sesión expiran automáticamente tras 8 horas de inactividad para resguardar la confidencialidad de la planta docente.</w:t>
      </w:r>
    </w:p>
    <w:p>
      <w:pPr>
        <w:pStyle w:val="BodyText"/>
        <w:bidi w:val="0"/>
        <w:spacing w:before="360" w:after="180"/>
        <w:ind w:hanging="0" w:start="0" w:end="0"/>
        <w:jc w:val="start"/>
        <w:rPr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Pasos para iniciar sesión: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Ingrese a la dirección web provista por el supervisor institucional.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Escriba su nombre de usuario asignado en el primer campo de texto.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Introduzca su contraseña confidencial y presione </w:t>
      </w: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Ingresar al Sistema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BodyText"/>
        <w:bidi w:val="0"/>
        <w:spacing w:before="360" w:after="180"/>
        <w:ind w:hanging="0" w:start="0" w:end="0"/>
        <w:jc w:val="start"/>
        <w:rPr>
          <w:rFonts w:ascii="Google Sans;sans-serif" w:hAnsi="Google Sans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sans-serif" w:hAnsi="Google Sans;sans-serif"/>
          <w:b/>
          <w:strike w:val="false"/>
          <w:dstrike w:val="false"/>
          <w:sz w:val="30"/>
          <w:u w:val="none"/>
          <w:effect w:val="none"/>
        </w:rPr>
        <w:t>2. Panel Principal y Alertas de Reintegros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Al autenticarse, el sistema despliega el </w:t>
      </w: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Panel Principal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con métricas en tiempo real de la institución. La sección superior incluye la barra de búsqueda global y el menú del perfil.</w:t>
      </w:r>
    </w:p>
    <w:p>
      <w:pPr>
        <w:pStyle w:val="BodyText"/>
        <w:bidi w:val="0"/>
        <w:spacing w:before="360" w:after="180"/>
        <w:ind w:hanging="0" w:start="0" w:end="0"/>
        <w:jc w:val="start"/>
        <w:rPr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Interfaz del Panel Administrativo</w:t>
      </w:r>
    </w:p>
    <w:p>
      <w:pPr>
        <w:pStyle w:val="BodyText"/>
        <w:bidi w:val="0"/>
        <w:spacing w:before="180" w:after="240"/>
        <w:ind w:hanging="0" w:start="0" w:end="0"/>
        <w:jc w:val="start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La plataforma se adapta a computadoras y dispositivos móviles. La zona central recopila indicadores críticos de personal.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Buscador Global Predictivo: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Inicie la búsqueda escribiendo las primeras letras del apellido o los números del DNI. El sistema desplegará una tarjeta flotante de autocompletado en menos de 2 milisegundos. Haga clic para ingresar directo al expediente.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Métricas de Planta: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El bloque izquierdo indica el total del personal registrado en PostgreSQL, mientras que el derecho aísla las licencias activas del día.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Alertas de Reintegros: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El recuadro color ámbar calcula de forma automatizada las licencias que finalizan dentro de los próximos 7 días corridos, detallando el docente titular y el suplente a cesar.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BodyText"/>
        <w:bidi w:val="0"/>
        <w:spacing w:before="360" w:after="180"/>
        <w:ind w:hanging="0" w:start="0" w:end="0"/>
        <w:jc w:val="start"/>
        <w:rPr>
          <w:rFonts w:ascii="Google Sans;sans-serif" w:hAnsi="Google Sans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sans-serif" w:hAnsi="Google Sans;sans-serif"/>
          <w:b/>
          <w:strike w:val="false"/>
          <w:dstrike w:val="false"/>
          <w:sz w:val="30"/>
          <w:u w:val="none"/>
          <w:effect w:val="none"/>
        </w:rPr>
        <w:t>3. Expediente Digital del Docente (Pestañas Adaptativas)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Al hacer clic en </w:t>
      </w: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Agentes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en la barra lateral o buscar un docente en el autocompletado, accederá al expediente dedicado del personal, estructurado en tres solapas responsivas independientes.</w:t>
      </w:r>
    </w:p>
    <w:p>
      <w:pPr>
        <w:pStyle w:val="BodyText"/>
        <w:bidi w:val="0"/>
        <w:spacing w:before="360" w:after="180"/>
        <w:ind w:hanging="0" w:start="0" w:end="0"/>
        <w:jc w:val="start"/>
        <w:rPr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Pestaña A: Datos Personales</w:t>
      </w:r>
    </w:p>
    <w:p>
      <w:pPr>
        <w:pStyle w:val="BodyText"/>
        <w:bidi w:val="0"/>
        <w:spacing w:before="180" w:after="240"/>
        <w:ind w:hanging="0" w:start="0" w:end="0"/>
        <w:jc w:val="start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Muestra la información de filiación del agente de forma protegida para evitar modificaciones accidentales.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Visualización Protegida: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Los campos de texto, DNI, legajo y situación de revista se presentan en modo de solo lectura.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Modificar Ficha: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Al presionar este botón, se abrirá un cuadro de diálogo modal flotante con barra de scroll interna. Modifique los campos necesarios y presione </w:t>
      </w: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Confirmar Cambios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Imprimir Ficha: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Este control activa la impresión nativa de la hoja de ruta. El estilo CSS global ocultará la barra de navegación y los botones, generando un formato A4 membretado con firmas y un pie de página de auditoría digital (detallando fecha de servidor y operador responsable).</w:t>
      </w:r>
    </w:p>
    <w:p>
      <w:pPr>
        <w:pStyle w:val="BodyText"/>
        <w:bidi w:val="0"/>
        <w:spacing w:before="360" w:after="180"/>
        <w:ind w:hanging="0" w:start="0" w:end="0"/>
        <w:jc w:val="start"/>
        <w:rPr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Pestaña B: Cátedras y Horas</w:t>
      </w:r>
    </w:p>
    <w:p>
      <w:pPr>
        <w:pStyle w:val="BodyText"/>
        <w:bidi w:val="0"/>
        <w:spacing w:before="180" w:after="240"/>
        <w:ind w:hanging="0" w:start="0" w:end="0"/>
        <w:jc w:val="start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Permite vincular las materias curriculares y la carga horaria del docente.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Asignar Cátedra: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Abre un diálogo modal para asociar una materia, curso, división, cantidad de horas, decreto de resolución y las fechas de toma de posesión y cese. El sistema cuenta con un validador en el servidor que impide duplicar la misma materia en el mismo ciclo lectivo.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Listado Histórico: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Muestra las cátedras vigentes e históricas organizadas de manera cronológica. Incluye un botón para desvincular el cargo.</w:t>
      </w:r>
    </w:p>
    <w:p>
      <w:pPr>
        <w:pStyle w:val="BodyText"/>
        <w:bidi w:val="0"/>
        <w:spacing w:before="360" w:after="180"/>
        <w:ind w:hanging="0" w:start="0" w:end="0"/>
        <w:jc w:val="start"/>
        <w:rPr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Pestaña C: Historial de Licencias</w:t>
      </w:r>
    </w:p>
    <w:p>
      <w:pPr>
        <w:pStyle w:val="BodyText"/>
        <w:bidi w:val="0"/>
        <w:spacing w:before="180" w:after="240"/>
        <w:ind w:hanging="0" w:start="0" w:end="0"/>
        <w:jc w:val="start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Centraliza las ausencias tramitadas por el agente bajo los términos del Decreto 4118/97.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Tramitar Artículo: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Modal flotante para asentar una nueva solicitud médica o particular fijando el rango de vigencia (Desde - Hasta).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Carga de Documentación: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Cada fila incluye un control para adjuntar el certificado médico digitalizado o dictamen legal en formato PDF o imagen. Si el archivo ya existe, la plataforma incrusta un visualizador interactivo para auditar el documento en pantalla.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BodyText"/>
        <w:bidi w:val="0"/>
        <w:spacing w:before="360" w:after="180"/>
        <w:ind w:hanging="0" w:start="0" w:end="0"/>
        <w:jc w:val="start"/>
        <w:rPr>
          <w:rFonts w:ascii="Google Sans;sans-serif" w:hAnsi="Google Sans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sans-serif" w:hAnsi="Google Sans;sans-serif"/>
          <w:b/>
          <w:strike w:val="false"/>
          <w:dstrike w:val="false"/>
          <w:sz w:val="30"/>
          <w:u w:val="none"/>
          <w:effect w:val="none"/>
        </w:rPr>
        <w:t>4. Agenda Mensual y Cronograma de Licencias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La sección </w:t>
      </w: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Calendario Mensual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genera una matriz gráfica orientada a prever la cobertura de los cursos áulicos.</w:t>
      </w:r>
    </w:p>
    <w:p>
      <w:pPr>
        <w:pStyle w:val="BodyText"/>
        <w:bidi w:val="0"/>
        <w:spacing w:before="360" w:after="180"/>
        <w:ind w:hanging="0" w:start="0" w:end="0"/>
        <w:jc w:val="start"/>
        <w:rPr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Cuadrícula de Ausencias por Turno</w:t>
      </w:r>
    </w:p>
    <w:p>
      <w:pPr>
        <w:pStyle w:val="BodyText"/>
        <w:bidi w:val="0"/>
        <w:spacing w:before="180" w:after="240"/>
        <w:ind w:hanging="0" w:start="0" w:end="0"/>
        <w:jc w:val="start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El calendario organiza las ausencias aprobadas en un formato mensual, integrando referencias semánticas por color.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Filtro por Turno: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Utilice el selector de la cabecera para aislar las ausencias pertenecientes al </w:t>
      </w:r>
      <w:r>
        <w:rPr>
          <w:rStyle w:val="Emphasis"/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Turno Mañana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o </w:t>
      </w:r>
      <w:r>
        <w:rPr>
          <w:rStyle w:val="Emphasis"/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Turno Tarde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de forma ágil.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Navegación Cronológica: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Las flechas laterales permiten conmutar los meses manteniendo el filtro de turno activo en la URL.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Leyenda de Artículos Semánticos: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Los bloques de la cuadrícula se pintan con colores específicos según el encuadre legal: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Rojo (Art. 24 / 25):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Carpeta Médica (Corto y Largo Tratamiento).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Púrpura (Art. 42 / 43):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Licencia por Maternidad, Paternidad o Familia.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Gris (Art. 58):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Razones Particulares (Sin goce de haberes).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Azul: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Artículos técnicos o licencias por Mayor Jerarquía.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BodyText"/>
        <w:bidi w:val="0"/>
        <w:spacing w:before="360" w:after="180"/>
        <w:ind w:hanging="0" w:start="0" w:end="0"/>
        <w:jc w:val="start"/>
        <w:rPr>
          <w:rFonts w:ascii="Google Sans;sans-serif" w:hAnsi="Google Sans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sans-serif" w:hAnsi="Google Sans;sans-serif"/>
          <w:b/>
          <w:strike w:val="false"/>
          <w:dstrike w:val="false"/>
          <w:sz w:val="30"/>
          <w:u w:val="none"/>
          <w:effect w:val="none"/>
        </w:rPr>
        <w:t>5. Distribución Semanal y Grilla Horaria</w:t>
      </w:r>
    </w:p>
    <w:p>
      <w:pPr>
        <w:pStyle w:val="BodyText"/>
        <w:bidi w:val="0"/>
        <w:spacing w:before="180" w:after="240"/>
        <w:ind w:hanging="0" w:start="0" w:end="0"/>
        <w:jc w:val="start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Gobernar los bloques de tiempo institucionales de lunes a viernes se divide en dos paneles operativos independientes:</w:t>
      </w:r>
    </w:p>
    <w:p>
      <w:pPr>
        <w:pStyle w:val="BodyText"/>
        <w:bidi w:val="0"/>
        <w:spacing w:before="360" w:after="180"/>
        <w:ind w:hanging="0" w:start="0" w:end="0"/>
        <w:jc w:val="start"/>
        <w:rPr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CRUD de Distribución Semanal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Permite agendar los bloques u horas cátedra fijos de la jornada (ej: 1° Bloque de 07:45 a 09:05). El motor de base de datos aplica una </w:t>
      </w: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doble validación de solapamiento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: rebota el registro si el docente ya dicta clases en otro curso a la misma hora, o si la división áulica elegida ya cuenta con otra materia programada.</w:t>
      </w:r>
    </w:p>
    <w:p>
      <w:pPr>
        <w:pStyle w:val="BodyText"/>
        <w:bidi w:val="0"/>
        <w:spacing w:before="360" w:after="180"/>
        <w:ind w:hanging="0" w:start="0" w:end="0"/>
        <w:jc w:val="start"/>
        <w:rPr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Grilla Horaria Institucional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Proyecta una matriz interactiva para auditar el uso de las aulas. Seleccione una división en la cabecera (ej: </w:t>
      </w:r>
      <w:r>
        <w:rPr>
          <w:rStyle w:val="Emphasis"/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1° Año — División A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) y el sistema graficará la cuadrícula de 5 columnas semanales. En teléfonos celulares, las celdas se transforman automáticamente en listas cronológicas compactas.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BodyText"/>
        <w:bidi w:val="0"/>
        <w:spacing w:before="360" w:after="180"/>
        <w:ind w:hanging="0" w:start="0" w:end="0"/>
        <w:jc w:val="start"/>
        <w:rPr>
          <w:rFonts w:ascii="Google Sans;sans-serif" w:hAnsi="Google Sans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sans-serif" w:hAnsi="Google Sans;sans-serif"/>
          <w:b/>
          <w:strike w:val="false"/>
          <w:dstrike w:val="false"/>
          <w:sz w:val="30"/>
          <w:u w:val="none"/>
          <w:effect w:val="none"/>
        </w:rPr>
        <w:t>6. Configuración de Perfil y Opciones de Cuenta</w:t>
      </w:r>
    </w:p>
    <w:p>
      <w:pPr>
        <w:pStyle w:val="BodyText"/>
        <w:bidi w:val="0"/>
        <w:spacing w:before="180" w:after="240"/>
        <w:ind w:hanging="0" w:start="0" w:end="0"/>
        <w:jc w:val="start"/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Cada operador del sistema (Administrador, Directivo o Personal de Secretaría) dispone de un panel privado para resguardar la seguridad de sus accesos.</w:t>
      </w:r>
    </w:p>
    <w:p>
      <w:pPr>
        <w:pStyle w:val="BodyText"/>
        <w:bidi w:val="0"/>
        <w:spacing w:before="360" w:after="180"/>
        <w:ind w:hanging="0" w:start="0" w:end="0"/>
        <w:jc w:val="start"/>
        <w:rPr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</w:pPr>
      <w:r>
        <w:rPr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Panel de Ajustes del Operador</w:t>
      </w:r>
    </w:p>
    <w:p>
      <w:pPr>
        <w:pStyle w:val="BodyText"/>
        <w:bidi w:val="0"/>
        <w:ind w:hanging="0" w:start="0" w:end="0"/>
        <w:jc w:val="start"/>
        <w:rPr/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Se accede desplegando el menú del perfil ubicado en la esquina superior derecha de la barra de navegación, haciendo clic en </w:t>
      </w: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Opciones de Cuenta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Metadata de Seguridad: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Presenta en bloques grises inmodificables el nombre de usuario de login y el rol asignado en la base de datos (RBAC).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Filiación Operativa: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Permite actualizar el nombre a mostrar en la interfaz y el correo electrónico institucional de contacto.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/>
      </w:pP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Actualización de Credencial: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Si desea cambiar su clave de acceso, escriba la nueva combinación en el campo </w:t>
      </w:r>
      <w:r>
        <w:rPr>
          <w:rStyle w:val="Emphasis"/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>Nueva Contraseña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(mínimo obligatorio de 6 caracteres). Si el campo se deja vacío, el sistema mantendrá su contraseña habitual intacto. Haga clic en </w:t>
      </w: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Aplicar Modificaciones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para guardar.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Si requiere asistencia con configuraciones de red adicionales o permisos para nuevos roles, comuníquese con el </w:t>
      </w:r>
      <w:r>
        <w:rPr>
          <w:rStyle w:val="Strong"/>
          <w:rFonts w:ascii="Google Sans;sans-serif" w:hAnsi="Google Sans;sans-serif"/>
          <w:b/>
          <w:strike w:val="false"/>
          <w:dstrike w:val="false"/>
          <w:sz w:val="24"/>
          <w:u w:val="none"/>
          <w:effect w:val="none"/>
        </w:rPr>
        <w:t>Supervisor de Sistemas</w:t>
      </w:r>
      <w:r>
        <w:rPr>
          <w:rFonts w:ascii="Google Sans;sans-serif" w:hAnsi="Google Sans;sans-serif"/>
          <w:b w:val="false"/>
          <w:strike w:val="false"/>
          <w:dstrike w:val="false"/>
          <w:sz w:val="24"/>
          <w:u w:val="none"/>
          <w:effect w:val="none"/>
        </w:rPr>
        <w:t xml:space="preserve"> de la institución.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s-AR" w:eastAsia="zh-CN" w:bidi="hi-IN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1044</Words>
  <Characters>5650</Characters>
  <CharactersWithSpaces>6617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2026-07-29T11:32:06Z</dcterms:created>
  <dc:creator/>
  <dc:description/>
  <dc:language>es-AR</dc:language>
  <cp:lastModifiedBy/>
  <dcterms:modified xsi:type="dcterms:W3CDTF">2026-07-29T11:33:02Z</dcterms:modified>
  <cp:revision>1</cp:revision>
  <dc:subject/>
  <dc:title/>
</cp:coreProperties>
</file>