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F2942"/>
          <w:sz w:val="36"/>
        </w:rPr>
        <w:t>GUÍA TÉCNICA Y DE INTEGRACIÓN - ESCUADRÓN 3</w:t>
      </w:r>
    </w:p>
    <w:p>
      <w:pPr>
        <w:spacing w:before="0" w:after="160"/>
        <w:jc w:val="left"/>
      </w:pPr>
      <w:r>
        <w:rPr>
          <w:rFonts w:ascii="Arial" w:hAnsi="Arial"/>
          <w:b/>
          <w:color w:val="0D9488"/>
          <w:sz w:val="24"/>
        </w:rPr>
        <w:t>Motor de Inventarios, Kardex Multi-Bodega y Costo Promedio Ponderado (CPP) API</w:t>
      </w:r>
    </w:p>
    <w:p>
      <w:pPr>
        <w:spacing w:before="0" w:after="240"/>
      </w:pPr>
      <w:r>
        <w:rPr>
          <w:rFonts w:ascii="Arial" w:hAnsi="Arial"/>
          <w:i/>
          <w:color w:val="64748B"/>
          <w:sz w:val="21"/>
        </w:rPr>
        <w:t>Esta guía está diseñada para que los demás escuadrones conozcan de forma simple y rápida cómo funciona nuestro módulo y cómo integrarse con él.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SERVICIO</w:t>
              <w:br/>
            </w:r>
            <w:r>
              <w:rPr>
                <w:rFonts w:ascii="Arial" w:hAnsi="Arial"/>
                <w:color w:val="1E293B"/>
                <w:sz w:val="19"/>
              </w:rPr>
              <w:t>squad3-inventory-service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BASE DE DATOS</w:t>
              <w:br/>
            </w:r>
            <w:r>
              <w:rPr>
                <w:rFonts w:ascii="Arial" w:hAnsi="Arial"/>
                <w:color w:val="1E293B"/>
                <w:sz w:val="19"/>
              </w:rPr>
              <w:t>PostgreSQL 16 + RLS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CACHÉ / SESIÓN</w:t>
              <w:br/>
            </w:r>
            <w:r>
              <w:rPr>
                <w:rFonts w:ascii="Arial" w:hAnsi="Arial"/>
                <w:color w:val="1E293B"/>
                <w:sz w:val="19"/>
              </w:rPr>
              <w:t>Redis 7 (jti &amp; Idempotencia)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ARQUITECTURA</w:t>
              <w:br/>
            </w:r>
            <w:r>
              <w:rPr>
                <w:rFonts w:ascii="Arial" w:hAnsi="Arial"/>
                <w:color w:val="1E293B"/>
                <w:sz w:val="19"/>
              </w:rPr>
              <w:t>Hexagonal (Prisma + Presentation)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URL LOCAL</w:t>
              <w:br/>
            </w:r>
            <w:r>
              <w:rPr>
                <w:rFonts w:ascii="Arial" w:hAnsi="Arial"/>
                <w:color w:val="1E293B"/>
                <w:sz w:val="19"/>
              </w:rPr>
              <w:t>http://localhost:3000/api/v1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DOCUMENTACIÓN</w:t>
              <w:br/>
            </w:r>
            <w:r>
              <w:rPr>
                <w:rFonts w:ascii="Arial" w:hAnsi="Arial"/>
                <w:color w:val="1E293B"/>
                <w:sz w:val="19"/>
              </w:rPr>
              <w:t>http://localhost:3000/api/docs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1. ¿Qué hace nuestro módulo?</w:t>
      </w:r>
    </w:p>
    <w:p>
      <w:pPr>
        <w:spacing w:after="160" w:line="276" w:lineRule="auto"/>
      </w:pPr>
      <w:r>
        <w:t>El Escuadrón 3 es el Motor de Inventarios, Kardex y Costo (CPP) del ecosistema SaaS Contable de UniPutumayo. Nuestro motor se encarga de administrar el catálogo de productos con sus variantes y bodegas físicas, procesar las entradas y salidas de mercancía, calcular matemáticamente el Costo Promedio Ponderado (CPP) en tiempo real, suministrar el Costo de Mercancía Vendida (CMV) al motor contable (Escuadrón 2) y garantizar la trazabilidad inmutable mediante el libro mayor de inventario (Kardex).</w:t>
      </w: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2. Objetivos Principales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Cálculo Matemático Exacto del CPP: </w:t>
      </w:r>
      <w:r>
        <w:rPr>
          <w:rFonts w:ascii="Arial" w:hAnsi="Arial"/>
          <w:color w:val="1E293B"/>
          <w:sz w:val="20"/>
        </w:rPr>
        <w:t>Recalcular el costo unitario ponderado en cada recepción de mercancía para abastecer al Escuadrón 2 con el valor exacto del Costo de Mercancía Vendida (CMV) al momento de asentar las ventas.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Prevención de Stock Negativo y Concurrencia: </w:t>
      </w:r>
      <w:r>
        <w:rPr>
          <w:rFonts w:ascii="Arial" w:hAnsi="Arial"/>
          <w:color w:val="1E293B"/>
          <w:sz w:val="20"/>
        </w:rPr>
        <w:t>Bloquear estrictamente cualquier despacho o venta que supere las existencias disponibles mediante bloqueo pesimista en base de datos (SELECT ... FOR UPDATE), retornando HTTP 400 Bad Request.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Inmutabilidad y Trazabilidad del Kardex: </w:t>
      </w:r>
      <w:r>
        <w:rPr>
          <w:rFonts w:ascii="Arial" w:hAnsi="Arial"/>
          <w:color w:val="1E293B"/>
          <w:sz w:val="20"/>
        </w:rPr>
        <w:t>Ningún movimiento se borra ni modifica físicamente (DELETE o UPDATE bloqueados). Todo error o anulación de factura se subsana emitiendo un contra-movimiento de compensación con auditoría completa.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Aislamiento Multi-Tenant Riguroso: </w:t>
      </w:r>
      <w:r>
        <w:rPr>
          <w:rFonts w:ascii="Arial" w:hAnsi="Arial"/>
          <w:color w:val="1E293B"/>
          <w:sz w:val="20"/>
        </w:rPr>
        <w:t>Garantizar mediante Row Level Security (RLS) en PostgreSQL 16 con SET LOCAL app.current_tenant_id que ninguna empresa pueda visualizar o afectar inventarios de otro tenant.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Arquitectura Hexagonal con Prisma y Capa Presentation: </w:t>
      </w:r>
      <w:r>
        <w:rPr>
          <w:rFonts w:ascii="Arial" w:hAnsi="Arial"/>
          <w:color w:val="1E293B"/>
          <w:sz w:val="20"/>
        </w:rPr>
        <w:t>Separación limpia de la capa HTTP/Swagger en src/presentation/ y persistencia transaccional con Prisma ORM 6, facilitando su integración en el monorepo sin acoplamientos indebidos.</w:t>
      </w: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3. URL y Autenticación</w:t>
      </w:r>
    </w:p>
    <w:p>
      <w:pPr>
        <w:spacing w:after="120"/>
      </w:pPr>
      <w:r>
        <w:t>Para que los demás escuadrones puedan consumir nuestra API, estos son los datos de conexión y seguridad: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Entorno de Desarrollo Local: </w:t>
      </w:r>
      <w:r>
        <w:rPr>
          <w:rFonts w:ascii="Arial" w:hAnsi="Arial"/>
          <w:color w:val="1E293B"/>
          <w:sz w:val="20"/>
        </w:rPr>
        <w:t>http://localhost:3000/api/v1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Posible URL en Producción / Despliegue: </w:t>
      </w:r>
      <w:r>
        <w:rPr>
          <w:rFonts w:ascii="Arial" w:hAnsi="Arial"/>
          <w:color w:val="1E293B"/>
          <w:sz w:val="20"/>
        </w:rPr>
        <w:t>https://api.saascontable.uniputumayo.edu.co/api/v1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Documentación Interactiva Swagger UI: </w:t>
      </w:r>
      <w:r>
        <w:rPr>
          <w:rFonts w:ascii="Arial" w:hAnsi="Arial"/>
          <w:color w:val="1E293B"/>
          <w:sz w:val="20"/>
        </w:rPr>
        <w:t>http://localhost:3000/api/docs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Autenticación (JWT): </w:t>
      </w:r>
      <w:r>
        <w:rPr>
          <w:rFonts w:ascii="Arial" w:hAnsi="Arial"/>
          <w:color w:val="1E293B"/>
          <w:sz w:val="20"/>
        </w:rPr>
        <w:t>Todas las peticiones deben incluir la cabecera: Authorization: Bearer &lt;TOKEN_JWT&gt; (validado en Redis 7 contra las sesiones activas emitidas por el Escuadrón 1).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Tenant Fixture para Pruebas Locales: </w:t>
      </w:r>
      <w:r>
        <w:rPr>
          <w:rFonts w:ascii="Arial" w:hAnsi="Arial"/>
          <w:color w:val="1E293B"/>
          <w:sz w:val="20"/>
        </w:rPr>
        <w:t>10000000-0000-0000-0000-000000000001 (Tenant A) y 20000000-0000-0000-0000-000000000002 (Tenant B).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Idempotencia Segura: </w:t>
      </w:r>
      <w:r>
        <w:rPr>
          <w:rFonts w:ascii="Arial" w:hAnsi="Arial"/>
          <w:color w:val="1E293B"/>
          <w:sz w:val="20"/>
        </w:rPr>
        <w:t>Operaciones mutables de inventario aceptan la cabecera opcional X-Idempotency-Key: &lt;UUID&gt; para prevenir duplicados ante cortes de conexión.</w:t>
      </w:r>
    </w:p>
    <w:p>
      <w:pPr>
        <w:spacing w:before="240" w:after="80"/>
      </w:pPr>
      <w:r>
        <w:rPr>
          <w:rFonts w:ascii="Arial" w:hAnsi="Arial"/>
          <w:b/>
          <w:color w:val="0F2942"/>
          <w:sz w:val="26"/>
        </w:rPr>
        <w:t>4. Endpoints Disponibles</w:t>
      </w:r>
    </w:p>
    <w:p>
      <w:pPr>
        <w:spacing w:after="160"/>
      </w:pPr>
      <w:r>
        <w:t>A continuación, los principales servicios que exponemos para que los demás escuadrones los consuman: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4.1. Recepción de Mercancía y Recálculo de CPP (Compras a Proveedores)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/api/v1/inventory/moves/receive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Ingresa existencias físicas a una bodega específica y recalcula automáticamente el Costo Promedio Ponderado (CPP) del producto en tiempo real.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Utilizado por el Escuadrón 7 (Compras y Proveedores) al registrar facturas de compra y por el personal de almacén para recepciones de mercancía.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4.2. Despacho de Mercancía y Salida POS (Venta / Salida Física)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/api/v1/inventory/moves/dispatch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Verifica existencias disponibles bajo bloqueo pesimista (SELECT FOR UPDATE), descuenta el stock físico y retorna el Costo de Mercancía Vendida (CMV) valorado a costo CPP.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Utilizado por los Puntos de Venta (Escuadrón 4 Web POS y Escuadrón 5 Mobile POS) al concretar ventas. El CMV devuelto es enviado al Escuadrón 2 para el asiento contable (6135 vs 1435).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4.3. Anular un Movimiento (Reversión Compensatoria)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/api/v1/inventory/moves/reverse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Recibe el ID de un movimiento previo y crea un contra-movimiento simétrico auditado, restaurando las existencias sin alterar el historial físico de la base de datos.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que los puntos de venta o administración anulen facturas devueltas o despachos erróneos de forma 100% auditable.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4.4. Consultar Catálogo y Existencias de Producto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/api/v1/inventory/products/:id  (o GET /api/v1/inventory/products)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Retorna los datos maestros del producto, código SKU, precio de venta, costo promedio actual y el desglose de existencias disponibles por cada bodega.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que los cajeros y administradores consulten disponibilidad en tiempo real antes de procesar una venta o generar una orden de compra.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4.5. Catálogo de Bodegas Activas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/api/v1/inventory/warehouses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Extrae la lista de bodegas habilitadas para la empresa actual.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alimentar los selectores de bodega en la interfaz web de caja, compras o transferencias.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4.6. Transferencias entre Bodegas (Directas y Two-Phase)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/api/v1/inventory/transfers  y  POST /api/v1/inventory/transfers/:id/receive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Traslada mercancía de forma inmediata (DIRECT) o en dos fases (TWO_PHASE), descontando de la bodega origen y manteniendo el stock en estado IN_TRANSIT hasta su confirmación en destino.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traslados de mercancía entre la bodega central y las sucursales comerciales.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4.7. Tomas Físicas de Inventario y Ajustes Contables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/api/v1/inventory/stock-counts  y  POST /api/v1/inventory/stock-counts/:id/apply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Abre sesiones de auditoría física de almacén y aplica automáticamente los ajustes contables por sobrantes (ADJUSTMENT_IN) y faltantes (ADJUSTMENT_OUT).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auditorías de cierre de mes, arqueos de almacén y cuadre físico de existencias.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4.8. Consultar Libro Kardex Oficial y Alertas de Stock Mínimo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/api/v1/inventory/kardex/:productId  y  GET /api/v1/inventory/stock-alerts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Extrae el libro mayor cronológico valorado de movimientos de un producto y el reporte de artículos cuyo stock actual está por debajo del límite mínimo.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el Escuadrón 6 (Reportes Financieros y BI) y Escuadrón 7 (Sugeridos de reabastecimiento a proveedores).</w:t>
      </w:r>
    </w:p>
    <w:p>
      <w:pPr>
        <w:spacing w:before="280" w:after="80"/>
      </w:pPr>
      <w:r>
        <w:rPr>
          <w:rFonts w:ascii="Arial" w:hAnsi="Arial"/>
          <w:b/>
          <w:color w:val="0F2942"/>
          <w:sz w:val="26"/>
        </w:rPr>
        <w:t>5. Matriz de Integración: ¿Qué debe consumir cada Escuadrón?</w:t>
      </w:r>
    </w:p>
    <w:p>
      <w:pPr>
        <w:spacing w:after="160"/>
      </w:pPr>
      <w:r>
        <w:t>Aquí detallamos qué interacción tendrá cada escuadrón con nuestra API de acuerdo al plan general del SaaS Contable: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Escuadrón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Misión del Escuadrón</w:t>
            </w:r>
          </w:p>
        </w:tc>
        <w:tc>
          <w:tcPr>
            <w:tcW w:type="dxa" w:w="2736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¿Qué endpoints debe consumir de nosotros?</w:t>
            </w:r>
          </w:p>
        </w:tc>
        <w:tc>
          <w:tcPr>
            <w:tcW w:type="dxa" w:w="3168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Explicación / Propósito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Identidad, Multi-Tenant &amp; RBAC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Ninguno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Nosotros consumimos sus contratos de tokens JWT y validamos sesiones en Redis (session:&lt;userId&gt;:&lt;jti&gt;) para autenticar cada petición.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Motor Contable NIIF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GET /api/v1/inventory/kardex/:productId</w:t>
              <w:br/>
              <w:t>(o lectura de CMV tras despacho)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Les proveemos el dato del Costo de Mercancía Vendida (CMV) calculado con el CPP para que asienten las líneas contables de costo (6135) e inventario (1435).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Web Desktop Admin &amp; High-Speed POS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/api/v1/inventory/moves/dispatch</w:t>
              <w:br/>
              <w:t>GET /api/v1/inventory/products</w:t>
              <w:br/>
              <w:t>GET /api/v1/inventory/warehouses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Al facturar en caja, despachan las unidades físicas y validan stock en tiempo real; los administradores crean y editan productos del catálogo.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Mobile POS Nativo Flutter (Offline)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/api/v1/inventory/moves/dispatch</w:t>
              <w:br/>
              <w:t>(con X-Idempotency-Key)</w:t>
              <w:br/>
              <w:t>GET /api/v1/inventory/products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Sincronizan los despachos de facturas emitidas sin conexión. Gracias a nuestra idempotencia con Redis, si reintentan el envío por fallas de red no se duplicará la salida.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6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Reportes Financieros y Auditoría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GET /api/v1/inventory/kardex/:productId</w:t>
              <w:br/>
              <w:t>GET /api/v1/inventory/stock-alerts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Consumen el libro Kardex para los tableros de valoración de inventarios, rotación de mercancía y el reporte de productos con riesgo de desabastecimiento.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7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Compras, Proveedores y Fiados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/api/v1/inventory/moves/receive</w:t>
              <w:br/>
              <w:t>GET /api/v1/inventory/stock-alerts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Al asentar una compra a proveedor (POST /purchases), nos envían la recepción para ingresar existencias y recalcular el CPP; consultan alertas para órdenes de compra.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8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DevOps, SRE &amp; QA Automation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http://localhost:3000/api/docs</w:t>
              <w:br/>
              <w:t>(OpenAPI export)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Monitorean la disponibilidad (Health Checks) de nuestra API, ejecutan las pruebas automatizadas de integración en el pipeline CI/CD y orquestan el monorepo.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6. Reglas Críticas de Integración para los Escuadrones Consumidores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Valores Numéricos como Strings Decimales: </w:t>
      </w:r>
      <w:r>
        <w:rPr>
          <w:rFonts w:ascii="Arial" w:hAnsi="Arial"/>
          <w:color w:val="1E293B"/>
          <w:sz w:val="20"/>
        </w:rPr>
        <w:t>Para evitar imprecisiones de punto flotante de JavaScript (IEEE 754), todas las cantidades y precios deben enviarse y recibirse como strings fijos (ej. cantidades con 4 decimales: '50.0000', precios/costos con 2 decimales: '3400.00').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NO calcular el CPP por cuenta propia: </w:t>
      </w:r>
      <w:r>
        <w:rPr>
          <w:rFonts w:ascii="Arial" w:hAnsi="Arial"/>
          <w:color w:val="1E293B"/>
          <w:sz w:val="20"/>
        </w:rPr>
        <w:t>La matemática del Costo Promedio Ponderado es responsabilidad exclusiva de este motor. Los escuadrones 2, 4, 5 y 7 deben tomar el costo unitario y total devuelto por Squad 3 en la respuesta del movimiento.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NO modificar tablas de inventario directamente: </w:t>
      </w:r>
      <w:r>
        <w:rPr>
          <w:rFonts w:ascii="Arial" w:hAnsi="Arial"/>
          <w:color w:val="1E293B"/>
          <w:sz w:val="20"/>
        </w:rPr>
        <w:t>Terminantemente prohibido ejecutar INSERT o UPDATE directos sobre inventory_balances o inventory_movements desde otros servicios o scripts de base de datos; esto rompe la trazabilidad contable y el RLS.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Uso obligatorio de IdempotencyKey en sincronizaciones: </w:t>
      </w:r>
      <w:r>
        <w:rPr>
          <w:rFonts w:ascii="Arial" w:hAnsi="Arial"/>
          <w:color w:val="1E293B"/>
          <w:sz w:val="20"/>
        </w:rPr>
        <w:t>Especialmente para Squad 5 (Mobile POS) y Squad 7 (Compras), envíen siempre la clave de idempotencia (UUID) en el cuerpo o cabecera para garantizar que un fallo de red no duplique existencias.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Estructura Limpia para Squad 8 (Monorepo): </w:t>
      </w:r>
      <w:r>
        <w:rPr>
          <w:rFonts w:ascii="Arial" w:hAnsi="Arial"/>
          <w:color w:val="1E293B"/>
          <w:sz w:val="20"/>
        </w:rPr>
        <w:t>El Escuadrón 3 implementó su capa de entrada en src/presentation/ y persistencia con Prisma ORM 6 (prisma/schema.prisma). No colisiona con otros módulos y comparte el paquete transversal @saas/contracts.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D9488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D9488"/>
                <w:sz w:val="20"/>
              </w:rPr>
              <w:t xml:space="preserve">• CERTIFICACIÓN Y AUDITORÍA VERIFICADA: </w:t>
            </w:r>
            <w:r>
              <w:rPr>
                <w:rFonts w:ascii="Arial" w:hAnsi="Arial"/>
                <w:color w:val="1E293B"/>
                <w:sz w:val="19"/>
              </w:rPr>
              <w:t>Todos los 14 endpoints de esta guía están 100% implementados, verificados con 35 escenarios E2E aprobados en infraestructura real (PostgreSQL + Redis + RLS), cuentan con especificación OpenAPI/Swagger interactiva y pruebas automatizadas de cobertura en el repositorio.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Guía Técnica y de Integración — Escuadrón 3: Motor de Inventario, Kardex &amp; CPP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SaaS Contable UniPutumayo • Ecosistema Multi-Tenant VI Semestre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