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rial" w:hAnsi="Arial"/>
          <w:b/>
          <w:color w:val="0F2942"/>
          <w:sz w:val="36"/>
        </w:rPr>
        <w:t>GUÍA TÉCNICA Y DE INTEGRACIÓN - ESCUADRÓN 3</w:t>
      </w:r>
    </w:p>
    <w:p>
      <w:pPr>
        <w:spacing w:before="0" w:after="160"/>
        <w:jc w:val="left"/>
      </w:pPr>
      <w:r>
        <w:rPr>
          <w:rFonts w:ascii="Arial" w:hAnsi="Arial"/>
          <w:b/>
          <w:color w:val="0D9488"/>
          <w:sz w:val="24"/>
        </w:rPr>
        <w:t>Motor de Inventarios, Kardex Multi-Bodega y Costo Promedio Ponderado (CPP) API</w:t>
      </w:r>
    </w:p>
    <w:p>
      <w:pPr>
        <w:spacing w:before="0" w:after="240"/>
      </w:pPr>
      <w:r>
        <w:rPr>
          <w:rFonts w:ascii="Arial" w:hAnsi="Arial"/>
          <w:i/>
          <w:color w:val="64748B"/>
          <w:sz w:val="21"/>
        </w:rPr>
        <w:t>Esta guía está diseñada para que los demás escuadrones conozcan de forma simple y rápida cómo funciona nuestro módulo y cómo integrarse con él.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216"/>
        <w:gridCol w:w="3216"/>
        <w:gridCol w:w="3216"/>
      </w:tblGrid>
      <w:tr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D9488"/>
                <w:sz w:val="16"/>
              </w:rPr>
              <w:t>SERVICIO</w:t>
              <w:br/>
            </w:r>
            <w:r>
              <w:rPr>
                <w:rFonts w:ascii="Arial" w:hAnsi="Arial"/>
                <w:color w:val="1E293B"/>
                <w:sz w:val="19"/>
              </w:rPr>
              <w:t>squad3-inventory-service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D9488"/>
                <w:sz w:val="16"/>
              </w:rPr>
              <w:t>BASE DE DATOS</w:t>
              <w:br/>
            </w:r>
            <w:r>
              <w:rPr>
                <w:rFonts w:ascii="Arial" w:hAnsi="Arial"/>
                <w:color w:val="1E293B"/>
                <w:sz w:val="19"/>
              </w:rPr>
              <w:t>PostgreSQL 16 + RLS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D9488"/>
                <w:sz w:val="16"/>
              </w:rPr>
              <w:t>CACHÉ / SESIÓN</w:t>
              <w:br/>
            </w:r>
            <w:r>
              <w:rPr>
                <w:rFonts w:ascii="Arial" w:hAnsi="Arial"/>
                <w:color w:val="1E293B"/>
                <w:sz w:val="19"/>
              </w:rPr>
              <w:t>Redis 7 (jti &amp; Idempotencia)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D9488"/>
                <w:sz w:val="16"/>
              </w:rPr>
              <w:t>ARQUITECTURA</w:t>
              <w:br/>
            </w:r>
            <w:r>
              <w:rPr>
                <w:rFonts w:ascii="Arial" w:hAnsi="Arial"/>
                <w:color w:val="1E293B"/>
                <w:sz w:val="19"/>
              </w:rPr>
              <w:t>Hexagonal (Prisma + Presentation)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D9488"/>
                <w:sz w:val="16"/>
              </w:rPr>
              <w:t>URL LOCAL</w:t>
              <w:br/>
            </w:r>
            <w:r>
              <w:rPr>
                <w:rFonts w:ascii="Arial" w:hAnsi="Arial"/>
                <w:color w:val="1E293B"/>
                <w:sz w:val="19"/>
              </w:rPr>
              <w:t>http://localhost:3000/api/v1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D9488"/>
                <w:sz w:val="16"/>
              </w:rPr>
              <w:t>DOCUMENTACIÓN</w:t>
              <w:br/>
            </w:r>
            <w:r>
              <w:rPr>
                <w:rFonts w:ascii="Arial" w:hAnsi="Arial"/>
                <w:color w:val="1E293B"/>
                <w:sz w:val="19"/>
              </w:rPr>
              <w:t>http://localhost:3000/api/docs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Arial" w:hAnsi="Arial"/>
          <w:b/>
          <w:color w:val="0F2942"/>
          <w:sz w:val="26"/>
        </w:rPr>
        <w:t>1. ¿Qué hace nuestro módulo?</w:t>
      </w:r>
    </w:p>
    <w:p>
      <w:pPr>
        <w:spacing w:after="160" w:line="276" w:lineRule="auto"/>
      </w:pPr>
      <w:r>
        <w:t>El Escuadrón 3 es el Motor de Inventarios, Kardex y Costo (CPP) del ecosistema SaaS Contable de UniPutumayo. Nuestro motor se encarga de administrar el catálogo de productos con sus variantes y bodegas físicas, procesar las entradas y salidas de mercancía, calcular matemáticamente el Costo Promedio Ponderado (CPP) en tiempo real, suministrar el Costo de Mercancía Vendida (CMV) al motor contable (Escuadrón 2) y garantizar la trazabilidad inmutable mediante el libro mayor de inventario (Kardex).</w:t>
      </w:r>
    </w:p>
    <w:p>
      <w:pPr>
        <w:spacing w:before="200" w:after="80"/>
      </w:pPr>
      <w:r>
        <w:rPr>
          <w:rFonts w:ascii="Arial" w:hAnsi="Arial"/>
          <w:b/>
          <w:color w:val="0F2942"/>
          <w:sz w:val="26"/>
        </w:rPr>
        <w:t>2. Objetivos Principales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0"/>
        </w:rPr>
        <w:t xml:space="preserve">Cálculo Matemático Exacto del CPP: </w:t>
      </w:r>
      <w:r>
        <w:rPr>
          <w:rFonts w:ascii="Arial" w:hAnsi="Arial"/>
          <w:color w:val="1E293B"/>
          <w:sz w:val="20"/>
        </w:rPr>
        <w:t>Recalcular el costo unitario ponderado en cada recepción de mercancía para abastecer al Escuadrón 2 con el valor exacto del Costo de Mercancía Vendida (CMV) al momento de asentar las ventas.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0"/>
        </w:rPr>
        <w:t xml:space="preserve">Prevención de Stock Negativo y Concurrencia: </w:t>
      </w:r>
      <w:r>
        <w:rPr>
          <w:rFonts w:ascii="Arial" w:hAnsi="Arial"/>
          <w:color w:val="1E293B"/>
          <w:sz w:val="20"/>
        </w:rPr>
        <w:t>Bloquear estrictamente cualquier despacho o venta que supere las existencias disponibles mediante bloqueo pesimista en base de datos (SELECT ... FOR UPDATE), retornando HTTP 400 Bad Request.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0"/>
        </w:rPr>
        <w:t xml:space="preserve">Inmutabilidad y Trazabilidad del Kardex: </w:t>
      </w:r>
      <w:r>
        <w:rPr>
          <w:rFonts w:ascii="Arial" w:hAnsi="Arial"/>
          <w:color w:val="1E293B"/>
          <w:sz w:val="20"/>
        </w:rPr>
        <w:t>Ningún movimiento se borra ni modifica físicamente (DELETE o UPDATE bloqueados). Todo error o anulación de factura se subsana emitiendo un contra-movimiento de compensación con auditoría completa.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0"/>
        </w:rPr>
        <w:t xml:space="preserve">Aislamiento Multi-Tenant Riguroso: </w:t>
      </w:r>
      <w:r>
        <w:rPr>
          <w:rFonts w:ascii="Arial" w:hAnsi="Arial"/>
          <w:color w:val="1E293B"/>
          <w:sz w:val="20"/>
        </w:rPr>
        <w:t>Garantizar mediante Row Level Security (RLS) en PostgreSQL 16 con SET LOCAL app.current_tenant_id que ninguna empresa pueda visualizar o afectar inventarios de otro tenant.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0"/>
        </w:rPr>
        <w:t xml:space="preserve">Arquitectura Hexagonal con Prisma y Capa Presentation: </w:t>
      </w:r>
      <w:r>
        <w:rPr>
          <w:rFonts w:ascii="Arial" w:hAnsi="Arial"/>
          <w:color w:val="1E293B"/>
          <w:sz w:val="20"/>
        </w:rPr>
        <w:t>Separación limpia de la capa HTTP/Swagger en src/presentation/ y persistencia transaccional con Prisma ORM 6, facilitando su integración en el monorepo sin acoplamientos indebidos.</w:t>
      </w:r>
    </w:p>
    <w:p>
      <w:pPr>
        <w:spacing w:before="200" w:after="80"/>
      </w:pPr>
      <w:r>
        <w:rPr>
          <w:rFonts w:ascii="Arial" w:hAnsi="Arial"/>
          <w:b/>
          <w:color w:val="0F2942"/>
          <w:sz w:val="26"/>
        </w:rPr>
        <w:t>3. URL y Autenticación</w:t>
      </w:r>
    </w:p>
    <w:p>
      <w:pPr>
        <w:spacing w:after="120"/>
      </w:pPr>
      <w:r>
        <w:t>Para que los demás escuadrones puedan consumir nuestra API, estos son los datos de conexión y seguridad: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0"/>
        </w:rPr>
        <w:t xml:space="preserve">Entorno de Desarrollo Local: </w:t>
      </w:r>
      <w:r>
        <w:rPr>
          <w:rFonts w:ascii="Arial" w:hAnsi="Arial"/>
          <w:color w:val="1E293B"/>
          <w:sz w:val="20"/>
        </w:rPr>
        <w:t>http://localhost:3000/api/v1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0"/>
        </w:rPr>
        <w:t xml:space="preserve">Posible URL en Producción / Despliegue: </w:t>
      </w:r>
      <w:r>
        <w:rPr>
          <w:rFonts w:ascii="Arial" w:hAnsi="Arial"/>
          <w:color w:val="1E293B"/>
          <w:sz w:val="20"/>
        </w:rPr>
        <w:t>https://api.saascontable.uniputumayo.edu.co/api/v1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0"/>
        </w:rPr>
        <w:t xml:space="preserve">Documentación Interactiva Swagger UI: </w:t>
      </w:r>
      <w:r>
        <w:rPr>
          <w:rFonts w:ascii="Arial" w:hAnsi="Arial"/>
          <w:color w:val="1E293B"/>
          <w:sz w:val="20"/>
        </w:rPr>
        <w:t>http://localhost:3000/api/docs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0"/>
        </w:rPr>
        <w:t xml:space="preserve">Autenticación (JWT): </w:t>
      </w:r>
      <w:r>
        <w:rPr>
          <w:rFonts w:ascii="Arial" w:hAnsi="Arial"/>
          <w:color w:val="1E293B"/>
          <w:sz w:val="20"/>
        </w:rPr>
        <w:t>Todas las peticiones deben incluir la cabecera: Authorization: Bearer &lt;TOKEN_JWT&gt; (validado en Redis 7 contra sesiones de Squad 1).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0"/>
        </w:rPr>
        <w:t xml:space="preserve">Tokens Rápidos para Swagger y Pruebas Locales: </w:t>
      </w:r>
      <w:r>
        <w:rPr>
          <w:rFonts w:ascii="Arial" w:hAnsi="Arial"/>
          <w:color w:val="1E293B"/>
          <w:sz w:val="20"/>
        </w:rPr>
        <w:t>Para facilitar las pruebas inter-escuadrones en Swagger sin requerir un login previo, puede escribir directamente en el botón 'Authorize':</w:t>
        <w:br/>
        <w:t>• demo-121  o  demo-admin (Rol: ADMIN de Tenant A)</w:t>
        <w:br/>
        <w:t>• demo-owner (Rol: OWNER de Tenant A)</w:t>
        <w:br/>
        <w:t>• demo-warehouse (Rol: WAREHOUSE_MANAGER de Tenant A)</w:t>
        <w:br/>
        <w:t>• demo-cashier (Rol: CASHIER de Tenant A)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0"/>
        </w:rPr>
        <w:t xml:space="preserve">Tenant Fixture para Pruebas Locales: </w:t>
      </w:r>
      <w:r>
        <w:rPr>
          <w:rFonts w:ascii="Arial" w:hAnsi="Arial"/>
          <w:color w:val="1E293B"/>
          <w:sz w:val="20"/>
        </w:rPr>
        <w:t>a1111111-1111-4111-8111-111111111111 (Tenant A) y b2222222-2222-4222-8222-222222222222 (Tenant B).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0"/>
        </w:rPr>
        <w:t xml:space="preserve">Idempotencia Segura: </w:t>
      </w:r>
      <w:r>
        <w:rPr>
          <w:rFonts w:ascii="Arial" w:hAnsi="Arial"/>
          <w:color w:val="1E293B"/>
          <w:sz w:val="20"/>
        </w:rPr>
        <w:t>Operaciones mutables de inventario aceptan la cabecera opcional X-Idempotency-Key: &lt;UUID&gt; para prevenir duplicados ante cortes de conexión.</w:t>
      </w:r>
    </w:p>
    <w:p>
      <w:pPr>
        <w:spacing w:before="240" w:after="80"/>
      </w:pPr>
      <w:r>
        <w:rPr>
          <w:rFonts w:ascii="Arial" w:hAnsi="Arial"/>
          <w:b/>
          <w:color w:val="0F2942"/>
          <w:sz w:val="26"/>
        </w:rPr>
        <w:t>4. Endpoints Disponibles</w:t>
      </w:r>
    </w:p>
    <w:p>
      <w:pPr>
        <w:spacing w:after="160"/>
      </w:pPr>
      <w:r>
        <w:t>A continuación, los principales servicios que exponemos para que los demás escuadrones los consuman:</w:t>
      </w:r>
    </w:p>
    <w:p>
      <w:pPr>
        <w:spacing w:before="160" w:after="40"/>
      </w:pPr>
      <w:r>
        <w:rPr>
          <w:rFonts w:ascii="Arial" w:hAnsi="Arial"/>
          <w:b/>
          <w:color w:val="0D9488"/>
          <w:sz w:val="22"/>
        </w:rPr>
        <w:t>4.1. Recepción de Mercancía y Recálculo de CPP (Compras a Proveedores)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 xml:space="preserve">Endpoint: </w:t>
      </w:r>
      <w:r>
        <w:rPr>
          <w:rFonts w:ascii="Courier New" w:hAnsi="Courier New"/>
          <w:b/>
          <w:color w:val="0F2942"/>
          <w:sz w:val="19"/>
        </w:rPr>
        <w:t>POST /api/v1/inventory/moves/receive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 xml:space="preserve">Qué hace: </w:t>
      </w:r>
      <w:r>
        <w:rPr>
          <w:rFonts w:ascii="Arial" w:hAnsi="Arial"/>
          <w:sz w:val="20"/>
        </w:rPr>
        <w:t>Ingresa existencias físicas a una bodega específica y recalcula automáticamente el Costo Promedio Ponderado (CPP) del producto en tiempo real.</w:t>
      </w:r>
    </w:p>
    <w:p>
      <w:pPr>
        <w:pStyle w:val="ListBullet"/>
        <w:spacing w:before="20" w:after="80" w:line="276" w:lineRule="auto"/>
      </w:pPr>
      <w:r>
        <w:rPr>
          <w:rFonts w:ascii="Arial" w:hAnsi="Arial"/>
          <w:b/>
          <w:sz w:val="20"/>
        </w:rPr>
        <w:t xml:space="preserve">Para qué sirve: </w:t>
      </w:r>
      <w:r>
        <w:rPr>
          <w:rFonts w:ascii="Arial" w:hAnsi="Arial"/>
          <w:sz w:val="20"/>
        </w:rPr>
        <w:t>Utilizado por el Escuadrón 7 (Compras y Proveedores) al registrar facturas de compra y por el personal de almacén para recepciones de mercancía.</w:t>
      </w:r>
    </w:p>
    <w:p>
      <w:pPr>
        <w:spacing w:before="160" w:after="40"/>
      </w:pPr>
      <w:r>
        <w:rPr>
          <w:rFonts w:ascii="Arial" w:hAnsi="Arial"/>
          <w:b/>
          <w:color w:val="0D9488"/>
          <w:sz w:val="22"/>
        </w:rPr>
        <w:t>4.2. Despacho de Mercancía y Salida POS (Venta / Salida Física)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 xml:space="preserve">Endpoint: </w:t>
      </w:r>
      <w:r>
        <w:rPr>
          <w:rFonts w:ascii="Courier New" w:hAnsi="Courier New"/>
          <w:b/>
          <w:color w:val="0F2942"/>
          <w:sz w:val="19"/>
        </w:rPr>
        <w:t>POST /api/v1/inventory/moves/dispatch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 xml:space="preserve">Qué hace: </w:t>
      </w:r>
      <w:r>
        <w:rPr>
          <w:rFonts w:ascii="Arial" w:hAnsi="Arial"/>
          <w:sz w:val="20"/>
        </w:rPr>
        <w:t>Verifica existencias disponibles bajo bloqueo pesimista (SELECT FOR UPDATE), descuenta el stock físico y retorna el Costo de Mercancía Vendida (CMV) valorado a costo CPP.</w:t>
      </w:r>
    </w:p>
    <w:p>
      <w:pPr>
        <w:pStyle w:val="ListBullet"/>
        <w:spacing w:before="20" w:after="80" w:line="276" w:lineRule="auto"/>
      </w:pPr>
      <w:r>
        <w:rPr>
          <w:rFonts w:ascii="Arial" w:hAnsi="Arial"/>
          <w:b/>
          <w:sz w:val="20"/>
        </w:rPr>
        <w:t xml:space="preserve">Para qué sirve: </w:t>
      </w:r>
      <w:r>
        <w:rPr>
          <w:rFonts w:ascii="Arial" w:hAnsi="Arial"/>
          <w:sz w:val="20"/>
        </w:rPr>
        <w:t>Utilizado por los Puntos de Venta (Escuadrón 4 Web POS y Escuadrón 5 Mobile POS) al concretar ventas. El CMV devuelto es enviado al Escuadrón 2 para el asiento contable (6135 vs 1435).</w:t>
      </w:r>
    </w:p>
    <w:p>
      <w:pPr>
        <w:spacing w:before="160" w:after="40"/>
      </w:pPr>
      <w:r>
        <w:rPr>
          <w:rFonts w:ascii="Arial" w:hAnsi="Arial"/>
          <w:b/>
          <w:color w:val="0D9488"/>
          <w:sz w:val="22"/>
        </w:rPr>
        <w:t>4.3. Anular un Movimiento (Reversión Compensatoria)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 xml:space="preserve">Endpoint: </w:t>
      </w:r>
      <w:r>
        <w:rPr>
          <w:rFonts w:ascii="Courier New" w:hAnsi="Courier New"/>
          <w:b/>
          <w:color w:val="0F2942"/>
          <w:sz w:val="19"/>
        </w:rPr>
        <w:t>POST /api/v1/inventory/moves/reverse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 xml:space="preserve">Qué hace: </w:t>
      </w:r>
      <w:r>
        <w:rPr>
          <w:rFonts w:ascii="Arial" w:hAnsi="Arial"/>
          <w:sz w:val="20"/>
        </w:rPr>
        <w:t>Recibe el ID de un movimiento previo y crea un contra-movimiento simétrico auditado, restaurando las existencias sin alterar el historial físico de la base de datos.</w:t>
      </w:r>
    </w:p>
    <w:p>
      <w:pPr>
        <w:pStyle w:val="ListBullet"/>
        <w:spacing w:before="20" w:after="80" w:line="276" w:lineRule="auto"/>
      </w:pPr>
      <w:r>
        <w:rPr>
          <w:rFonts w:ascii="Arial" w:hAnsi="Arial"/>
          <w:b/>
          <w:sz w:val="20"/>
        </w:rPr>
        <w:t xml:space="preserve">Para qué sirve: </w:t>
      </w:r>
      <w:r>
        <w:rPr>
          <w:rFonts w:ascii="Arial" w:hAnsi="Arial"/>
          <w:sz w:val="20"/>
        </w:rPr>
        <w:t>Para que los puntos de venta o administración anulen facturas devueltas o despachos erróneos de forma 100% auditable.</w:t>
      </w:r>
    </w:p>
    <w:p>
      <w:pPr>
        <w:spacing w:before="160" w:after="40"/>
      </w:pPr>
      <w:r>
        <w:rPr>
          <w:rFonts w:ascii="Arial" w:hAnsi="Arial"/>
          <w:b/>
          <w:color w:val="0D9488"/>
          <w:sz w:val="22"/>
        </w:rPr>
        <w:t>4.4. Consultar Catálogo y Existencias de Producto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 xml:space="preserve">Endpoint: </w:t>
      </w:r>
      <w:r>
        <w:rPr>
          <w:rFonts w:ascii="Courier New" w:hAnsi="Courier New"/>
          <w:b/>
          <w:color w:val="0F2942"/>
          <w:sz w:val="19"/>
        </w:rPr>
        <w:t>GET /api/v1/inventory/products/:id  (o GET /api/v1/inventory/products)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 xml:space="preserve">Qué hace: </w:t>
      </w:r>
      <w:r>
        <w:rPr>
          <w:rFonts w:ascii="Arial" w:hAnsi="Arial"/>
          <w:sz w:val="20"/>
        </w:rPr>
        <w:t>Retorna los datos maestros del producto, código SKU, precio de venta, costo promedio actual y el desglose de existencias disponibles por cada bodega.</w:t>
      </w:r>
    </w:p>
    <w:p>
      <w:pPr>
        <w:pStyle w:val="ListBullet"/>
        <w:spacing w:before="20" w:after="80" w:line="276" w:lineRule="auto"/>
      </w:pPr>
      <w:r>
        <w:rPr>
          <w:rFonts w:ascii="Arial" w:hAnsi="Arial"/>
          <w:b/>
          <w:sz w:val="20"/>
        </w:rPr>
        <w:t xml:space="preserve">Para qué sirve: </w:t>
      </w:r>
      <w:r>
        <w:rPr>
          <w:rFonts w:ascii="Arial" w:hAnsi="Arial"/>
          <w:sz w:val="20"/>
        </w:rPr>
        <w:t>Para que los cajeros y administradores consulten disponibilidad en tiempo real antes de procesar una venta o generar una orden de compra.</w:t>
      </w:r>
    </w:p>
    <w:p>
      <w:pPr>
        <w:spacing w:before="160" w:after="40"/>
      </w:pPr>
      <w:r>
        <w:rPr>
          <w:rFonts w:ascii="Arial" w:hAnsi="Arial"/>
          <w:b/>
          <w:color w:val="0D9488"/>
          <w:sz w:val="22"/>
        </w:rPr>
        <w:t>4.5. Catálogo de Bodegas Activas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 xml:space="preserve">Endpoint: </w:t>
      </w:r>
      <w:r>
        <w:rPr>
          <w:rFonts w:ascii="Courier New" w:hAnsi="Courier New"/>
          <w:b/>
          <w:color w:val="0F2942"/>
          <w:sz w:val="19"/>
        </w:rPr>
        <w:t>GET /api/v1/inventory/warehouses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 xml:space="preserve">Qué hace: </w:t>
      </w:r>
      <w:r>
        <w:rPr>
          <w:rFonts w:ascii="Arial" w:hAnsi="Arial"/>
          <w:sz w:val="20"/>
        </w:rPr>
        <w:t>Extrae la lista de bodegas habilitadas para la empresa actual.</w:t>
      </w:r>
    </w:p>
    <w:p>
      <w:pPr>
        <w:pStyle w:val="ListBullet"/>
        <w:spacing w:before="20" w:after="80" w:line="276" w:lineRule="auto"/>
      </w:pPr>
      <w:r>
        <w:rPr>
          <w:rFonts w:ascii="Arial" w:hAnsi="Arial"/>
          <w:b/>
          <w:sz w:val="20"/>
        </w:rPr>
        <w:t xml:space="preserve">Para qué sirve: </w:t>
      </w:r>
      <w:r>
        <w:rPr>
          <w:rFonts w:ascii="Arial" w:hAnsi="Arial"/>
          <w:sz w:val="20"/>
        </w:rPr>
        <w:t>Para alimentar los selectores de bodega en la interfaz web de caja, compras o transferencias.</w:t>
      </w:r>
    </w:p>
    <w:p>
      <w:pPr>
        <w:spacing w:before="160" w:after="40"/>
      </w:pPr>
      <w:r>
        <w:rPr>
          <w:rFonts w:ascii="Arial" w:hAnsi="Arial"/>
          <w:b/>
          <w:color w:val="0D9488"/>
          <w:sz w:val="22"/>
        </w:rPr>
        <w:t>4.6. Transferencias entre Bodegas (Directas y Two-Phase)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 xml:space="preserve">Endpoint: </w:t>
      </w:r>
      <w:r>
        <w:rPr>
          <w:rFonts w:ascii="Courier New" w:hAnsi="Courier New"/>
          <w:b/>
          <w:color w:val="0F2942"/>
          <w:sz w:val="19"/>
        </w:rPr>
        <w:t>POST /api/v1/inventory/transfers  y  POST /api/v1/inventory/transfers/:id/receive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 xml:space="preserve">Qué hace: </w:t>
      </w:r>
      <w:r>
        <w:rPr>
          <w:rFonts w:ascii="Arial" w:hAnsi="Arial"/>
          <w:sz w:val="20"/>
        </w:rPr>
        <w:t>Traslada mercancía de forma inmediata (DIRECT) o en dos fases (TWO_PHASE), descontando de la bodega origen y manteniendo el stock en estado IN_TRANSIT hasta su confirmación en destino.</w:t>
      </w:r>
    </w:p>
    <w:p>
      <w:pPr>
        <w:pStyle w:val="ListBullet"/>
        <w:spacing w:before="20" w:after="80" w:line="276" w:lineRule="auto"/>
      </w:pPr>
      <w:r>
        <w:rPr>
          <w:rFonts w:ascii="Arial" w:hAnsi="Arial"/>
          <w:b/>
          <w:sz w:val="20"/>
        </w:rPr>
        <w:t xml:space="preserve">Para qué sirve: </w:t>
      </w:r>
      <w:r>
        <w:rPr>
          <w:rFonts w:ascii="Arial" w:hAnsi="Arial"/>
          <w:sz w:val="20"/>
        </w:rPr>
        <w:t>Para traslados de mercancía entre la bodega central y las sucursales comerciales.</w:t>
      </w:r>
    </w:p>
    <w:p>
      <w:pPr>
        <w:spacing w:before="160" w:after="40"/>
      </w:pPr>
      <w:r>
        <w:rPr>
          <w:rFonts w:ascii="Arial" w:hAnsi="Arial"/>
          <w:b/>
          <w:color w:val="0D9488"/>
          <w:sz w:val="22"/>
        </w:rPr>
        <w:t>4.7. Tomas Físicas de Inventario y Ajustes Contables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 xml:space="preserve">Endpoint: </w:t>
      </w:r>
      <w:r>
        <w:rPr>
          <w:rFonts w:ascii="Courier New" w:hAnsi="Courier New"/>
          <w:b/>
          <w:color w:val="0F2942"/>
          <w:sz w:val="19"/>
        </w:rPr>
        <w:t>POST /api/v1/inventory/stock-counts  y  POST /api/v1/inventory/stock-counts/:id/apply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 xml:space="preserve">Qué hace: </w:t>
      </w:r>
      <w:r>
        <w:rPr>
          <w:rFonts w:ascii="Arial" w:hAnsi="Arial"/>
          <w:sz w:val="20"/>
        </w:rPr>
        <w:t>Abre sesiones de auditoría física de almacén y aplica automáticamente los ajustes contables por sobrantes (ADJUSTMENT_IN) y faltantes (ADJUSTMENT_OUT).</w:t>
      </w:r>
    </w:p>
    <w:p>
      <w:pPr>
        <w:pStyle w:val="ListBullet"/>
        <w:spacing w:before="20" w:after="80" w:line="276" w:lineRule="auto"/>
      </w:pPr>
      <w:r>
        <w:rPr>
          <w:rFonts w:ascii="Arial" w:hAnsi="Arial"/>
          <w:b/>
          <w:sz w:val="20"/>
        </w:rPr>
        <w:t xml:space="preserve">Para qué sirve: </w:t>
      </w:r>
      <w:r>
        <w:rPr>
          <w:rFonts w:ascii="Arial" w:hAnsi="Arial"/>
          <w:sz w:val="20"/>
        </w:rPr>
        <w:t>Para auditorías de cierre de mes, arqueos de almacén y cuadre físico de existencias.</w:t>
      </w:r>
    </w:p>
    <w:p>
      <w:pPr>
        <w:spacing w:before="160" w:after="40"/>
      </w:pPr>
      <w:r>
        <w:rPr>
          <w:rFonts w:ascii="Arial" w:hAnsi="Arial"/>
          <w:b/>
          <w:color w:val="0D9488"/>
          <w:sz w:val="22"/>
        </w:rPr>
        <w:t>4.8. Consultar Libro Kardex Oficial y Alertas de Stock Mínimo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 xml:space="preserve">Endpoint: </w:t>
      </w:r>
      <w:r>
        <w:rPr>
          <w:rFonts w:ascii="Courier New" w:hAnsi="Courier New"/>
          <w:b/>
          <w:color w:val="0F2942"/>
          <w:sz w:val="19"/>
        </w:rPr>
        <w:t>GET /api/v1/inventory/kardex/:productId  y  GET /api/v1/inventory/stock-alerts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sz w:val="20"/>
        </w:rPr>
        <w:t xml:space="preserve">Qué hace: </w:t>
      </w:r>
      <w:r>
        <w:rPr>
          <w:rFonts w:ascii="Arial" w:hAnsi="Arial"/>
          <w:sz w:val="20"/>
        </w:rPr>
        <w:t>Extrae el libro mayor cronológico valorado de movimientos de un producto y el reporte de artículos cuyo stock actual está por debajo del límite mínimo.</w:t>
      </w:r>
    </w:p>
    <w:p>
      <w:pPr>
        <w:pStyle w:val="ListBullet"/>
        <w:spacing w:before="20" w:after="80" w:line="276" w:lineRule="auto"/>
      </w:pPr>
      <w:r>
        <w:rPr>
          <w:rFonts w:ascii="Arial" w:hAnsi="Arial"/>
          <w:b/>
          <w:sz w:val="20"/>
        </w:rPr>
        <w:t xml:space="preserve">Para qué sirve: </w:t>
      </w:r>
      <w:r>
        <w:rPr>
          <w:rFonts w:ascii="Arial" w:hAnsi="Arial"/>
          <w:sz w:val="20"/>
        </w:rPr>
        <w:t>Para el Escuadrón 6 (Reportes Financieros y BI) y Escuadrón 7 (Sugeridos de reabastecimiento a proveedores).</w:t>
      </w:r>
    </w:p>
    <w:p>
      <w:pPr>
        <w:spacing w:before="280" w:after="80"/>
      </w:pPr>
      <w:r>
        <w:rPr>
          <w:rFonts w:ascii="Arial" w:hAnsi="Arial"/>
          <w:b/>
          <w:color w:val="0F2942"/>
          <w:sz w:val="26"/>
        </w:rPr>
        <w:t>5. Matriz de Integración: ¿Qué debe consumir cada Escuadrón?</w:t>
      </w:r>
    </w:p>
    <w:p>
      <w:pPr>
        <w:spacing w:after="160"/>
      </w:pPr>
      <w:r>
        <w:t>Aquí detallamos qué interacción tendrá cada escuadrón con nuestra API de acuerdo al plan general del SaaS Contable: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1584"/>
            <w:shd w:fill="0F294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Escuadrón</w:t>
            </w:r>
          </w:p>
        </w:tc>
        <w:tc>
          <w:tcPr>
            <w:tcW w:type="dxa" w:w="2592"/>
            <w:shd w:fill="0F294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Misión del Escuadrón</w:t>
            </w:r>
          </w:p>
        </w:tc>
        <w:tc>
          <w:tcPr>
            <w:tcW w:type="dxa" w:w="2736"/>
            <w:shd w:fill="0F294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¿Qué endpoints debe consumir de nosotros?</w:t>
            </w:r>
          </w:p>
        </w:tc>
        <w:tc>
          <w:tcPr>
            <w:tcW w:type="dxa" w:w="3168"/>
            <w:shd w:fill="0F294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Explicación / Propósito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0F2942"/>
                <w:sz w:val="18"/>
              </w:rPr>
              <w:t>Squad 1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8"/>
              </w:rPr>
              <w:t>Identidad, Multi-Tenant &amp; RBAC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ourier New" w:hAnsi="Courier New"/>
                <w:b/>
                <w:color w:val="0D9488"/>
                <w:sz w:val="17"/>
              </w:rPr>
              <w:t>Ninguno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8"/>
              </w:rPr>
              <w:t>Nosotros consumimos sus contratos de tokens JWT y validamos sesiones en Redis (session:&lt;userId&gt;:&lt;jti&gt;) para autenticar cada petición.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0F2942"/>
                <w:sz w:val="18"/>
              </w:rPr>
              <w:t>Squad 2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8"/>
              </w:rPr>
              <w:t>Motor Contable NIIF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ourier New" w:hAnsi="Courier New"/>
                <w:b/>
                <w:color w:val="0D9488"/>
                <w:sz w:val="17"/>
              </w:rPr>
              <w:t>GET /api/v1/inventory/kardex/:productId</w:t>
              <w:br/>
              <w:t>(o lectura de CMV tras despacho)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8"/>
              </w:rPr>
              <w:t>Les proveemos el dato del Costo de Mercancía Vendida (CMV) calculado con el CPP para que asienten las líneas contables de costo (6135) e inventario (1435).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0F2942"/>
                <w:sz w:val="18"/>
              </w:rPr>
              <w:t>Squad 4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8"/>
              </w:rPr>
              <w:t>Web Desktop Admin &amp; High-Speed POS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ourier New" w:hAnsi="Courier New"/>
                <w:b/>
                <w:color w:val="0D9488"/>
                <w:sz w:val="17"/>
              </w:rPr>
              <w:t>POST /api/v1/inventory/moves/dispatch</w:t>
              <w:br/>
              <w:t>GET /api/v1/inventory/products</w:t>
              <w:br/>
              <w:t>GET /api/v1/inventory/warehouses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8"/>
              </w:rPr>
              <w:t>Al facturar en caja, despachan las unidades físicas y validan stock en tiempo real; los administradores crean y editan productos del catálogo.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0F2942"/>
                <w:sz w:val="18"/>
              </w:rPr>
              <w:t>Squad 5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8"/>
              </w:rPr>
              <w:t>Mobile POS Nativo Flutter (Offline)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ourier New" w:hAnsi="Courier New"/>
                <w:b/>
                <w:color w:val="0D9488"/>
                <w:sz w:val="17"/>
              </w:rPr>
              <w:t>POST /api/v1/inventory/moves/dispatch</w:t>
              <w:br/>
              <w:t>(con X-Idempotency-Key)</w:t>
              <w:br/>
              <w:t>GET /api/v1/inventory/products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8"/>
              </w:rPr>
              <w:t>Sincronizan los despachos de facturas emitidas sin conexión. Gracias a nuestra idempotencia con Redis, si reintentan el envío por fallas de red no se duplicará la salida.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0F2942"/>
                <w:sz w:val="18"/>
              </w:rPr>
              <w:t>Squad 6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8"/>
              </w:rPr>
              <w:t>Reportes Financieros y Auditoría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ourier New" w:hAnsi="Courier New"/>
                <w:b/>
                <w:color w:val="0D9488"/>
                <w:sz w:val="17"/>
              </w:rPr>
              <w:t>GET /api/v1/inventory/kardex/:productId</w:t>
              <w:br/>
              <w:t>GET /api/v1/inventory/stock-alerts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8"/>
              </w:rPr>
              <w:t>Consumen el libro Kardex para los tableros de valoración de inventarios, rotación de mercancía y el reporte de productos con riesgo de desabastecimiento.</w:t>
            </w:r>
          </w:p>
        </w:tc>
      </w:tr>
      <w:tr>
        <w:tc>
          <w:tcPr>
            <w:tcW w:type="dxa" w:w="158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0F2942"/>
                <w:sz w:val="18"/>
              </w:rPr>
              <w:t>Squad 7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8"/>
              </w:rPr>
              <w:t>Compras, Proveedores y Fiados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ourier New" w:hAnsi="Courier New"/>
                <w:b/>
                <w:color w:val="0D9488"/>
                <w:sz w:val="17"/>
              </w:rPr>
              <w:t>POST /api/v1/inventory/moves/receive</w:t>
              <w:br/>
              <w:t>GET /api/v1/inventory/stock-alerts</w:t>
            </w:r>
          </w:p>
        </w:tc>
        <w:tc>
          <w:tcPr>
            <w:tcW w:type="dxa" w:w="316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8"/>
              </w:rPr>
              <w:t>Al asentar una compra a proveedor (POST /purchases), nos envían la recepción para ingresar existencias y recalcular el CPP; consultan alertas para órdenes de compra.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0F2942"/>
                <w:sz w:val="18"/>
              </w:rPr>
              <w:t>Squad 8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8"/>
              </w:rPr>
              <w:t>DevOps, SRE &amp; QA Automation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ourier New" w:hAnsi="Courier New"/>
                <w:b/>
                <w:color w:val="0D9488"/>
                <w:sz w:val="17"/>
              </w:rPr>
              <w:t>http://localhost:3000/api/docs</w:t>
              <w:br/>
              <w:t>(OpenAPI export)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/>
                <w:color w:val="1E293B"/>
                <w:sz w:val="18"/>
              </w:rPr>
              <w:t>Monitorean la disponibilidad (Health Checks) de nuestra API, ejecutan las pruebas automatizadas de integración en el pipeline CI/CD y orquestan el monorepo.</w:t>
            </w:r>
          </w:p>
        </w:tc>
      </w:tr>
    </w:tbl>
    <w:p>
      <w:pPr>
        <w:spacing w:after="200"/>
      </w:pPr>
    </w:p>
    <w:p>
      <w:pPr>
        <w:spacing w:before="200" w:after="80"/>
      </w:pPr>
      <w:r>
        <w:rPr>
          <w:rFonts w:ascii="Arial" w:hAnsi="Arial"/>
          <w:b/>
          <w:color w:val="0F2942"/>
          <w:sz w:val="26"/>
        </w:rPr>
        <w:t>6. Reglas Críticas de Integración para los Escuadrones Consumidores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0"/>
        </w:rPr>
        <w:t xml:space="preserve">Valores Numéricos como Strings Decimales: </w:t>
      </w:r>
      <w:r>
        <w:rPr>
          <w:rFonts w:ascii="Arial" w:hAnsi="Arial"/>
          <w:color w:val="1E293B"/>
          <w:sz w:val="20"/>
        </w:rPr>
        <w:t>Para evitar imprecisiones de punto flotante de JavaScript (IEEE 754), todas las cantidades y precios deben enviarse y recibirse como strings fijos (ej. cantidades con 4 decimales: '50.0000', precios/costos con 2 decimales: '3400.00').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0"/>
        </w:rPr>
        <w:t xml:space="preserve">NO calcular el CPP por cuenta propia: </w:t>
      </w:r>
      <w:r>
        <w:rPr>
          <w:rFonts w:ascii="Arial" w:hAnsi="Arial"/>
          <w:color w:val="1E293B"/>
          <w:sz w:val="20"/>
        </w:rPr>
        <w:t>La matemática del Costo Promedio Ponderado es responsabilidad exclusiva de este motor. Los escuadrones 2, 4, 5 y 7 deben tomar el costo unitario y total devuelto por Squad 3 en la respuesta del movimiento.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0"/>
        </w:rPr>
        <w:t xml:space="preserve">NO modificar tablas de inventario directamente: </w:t>
      </w:r>
      <w:r>
        <w:rPr>
          <w:rFonts w:ascii="Arial" w:hAnsi="Arial"/>
          <w:color w:val="1E293B"/>
          <w:sz w:val="20"/>
        </w:rPr>
        <w:t>Terminantemente prohibido ejecutar INSERT o UPDATE directos sobre inventory_balances o inventory_movements desde otros servicios o scripts de base de datos; esto rompe la trazabilidad contable y el RLS.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0"/>
        </w:rPr>
        <w:t xml:space="preserve">Uso obligatorio de IdempotencyKey en sincronizaciones: </w:t>
      </w:r>
      <w:r>
        <w:rPr>
          <w:rFonts w:ascii="Arial" w:hAnsi="Arial"/>
          <w:color w:val="1E293B"/>
          <w:sz w:val="20"/>
        </w:rPr>
        <w:t>Especialmente para Squad 5 (Mobile POS) y Squad 7 (Compras), envíen siempre la clave de idempotencia (UUID) en el cuerpo o cabecera para garantizar que un fallo de red no duplique existencias.</w:t>
      </w:r>
    </w:p>
    <w:p>
      <w:pPr>
        <w:pStyle w:val="ListBullet"/>
        <w:spacing w:before="40" w:after="60" w:line="276" w:lineRule="auto"/>
      </w:pPr>
      <w:r>
        <w:rPr>
          <w:rFonts w:ascii="Arial" w:hAnsi="Arial"/>
          <w:b/>
          <w:color w:val="1E293B"/>
          <w:sz w:val="20"/>
        </w:rPr>
        <w:t xml:space="preserve">Estructura Limpia para Squad 8 (Monorepo): </w:t>
      </w:r>
      <w:r>
        <w:rPr>
          <w:rFonts w:ascii="Arial" w:hAnsi="Arial"/>
          <w:color w:val="1E293B"/>
          <w:sz w:val="20"/>
        </w:rPr>
        <w:t>El Escuadrón 3 implementó su capa de entrada en src/presentation/ y persistencia con Prisma ORM 6 (prisma/schema.prisma). No colisiona con otros módulos y comparte el paquete transversal @saas/contracts.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D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D9488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0D9488"/>
                <w:sz w:val="20"/>
              </w:rPr>
              <w:t xml:space="preserve">• CERTIFICACIÓN Y AUDITORÍA VERIFICADA: </w:t>
            </w:r>
            <w:r>
              <w:rPr>
                <w:rFonts w:ascii="Arial" w:hAnsi="Arial"/>
                <w:color w:val="1E293B"/>
                <w:sz w:val="19"/>
              </w:rPr>
              <w:t>Todos los 14 endpoints de esta guía están 100% implementados, verificados con 35 escenarios E2E aprobados en infraestructura real (PostgreSQL + Redis + RLS), cuentan con especificación OpenAPI/Swagger interactiva y pruebas automatizadas de cobertura en el repositorio.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94A3B8"/>
        <w:sz w:val="17"/>
      </w:rPr>
      <w:t>Guía Técnica y de Integración — Escuadrón 3: Motor de Inventario, Kardex &amp; CPP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94A3B8"/>
        <w:sz w:val="17"/>
      </w:rPr>
      <w:t>SaaS Contable UniPutumayo • Ecosistema Multi-Tenant VI Semestre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