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AD" w:rsidRPr="00EA1D6C" w:rsidRDefault="00BA61AD" w:rsidP="00BA61AD">
      <w:pPr>
        <w:contextualSpacing/>
        <w:rPr>
          <w:b/>
        </w:rPr>
      </w:pPr>
      <w:r w:rsidRPr="00EA1D6C">
        <w:rPr>
          <w:b/>
        </w:rPr>
        <w:t>Kevin Saavedra</w:t>
      </w:r>
    </w:p>
    <w:p w:rsidR="00BA61AD" w:rsidRPr="00EA1D6C" w:rsidRDefault="00BA61AD" w:rsidP="00BA61AD">
      <w:pPr>
        <w:contextualSpacing/>
        <w:rPr>
          <w:u w:val="single"/>
        </w:rPr>
      </w:pPr>
      <w:r>
        <w:rPr>
          <w:u w:val="single"/>
        </w:rPr>
        <w:t>USP 587 – Homework 3</w:t>
      </w:r>
    </w:p>
    <w:p w:rsidR="00B91D57" w:rsidRDefault="00B91D57"/>
    <w:p w:rsidR="00BA61AD" w:rsidRDefault="00F50517" w:rsidP="00F50517">
      <w:pPr>
        <w:pStyle w:val="ListParagraph"/>
        <w:numPr>
          <w:ilvl w:val="0"/>
          <w:numId w:val="1"/>
        </w:numPr>
      </w:pPr>
      <w:r>
        <w:t>Trip Distribution</w:t>
      </w:r>
    </w:p>
    <w:p w:rsidR="008C1DB1" w:rsidRDefault="008C1DB1" w:rsidP="008C1DB1">
      <w:r>
        <w:t xml:space="preserve">2000 Census data for the City of Redmond, WA, combined with Urban Area 50,000 to 199,999 tables </w:t>
      </w:r>
      <w:r w:rsidR="005528D1">
        <w:t>were used to</w:t>
      </w:r>
      <w:r>
        <w:t xml:space="preserve"> generat</w:t>
      </w:r>
      <w:r w:rsidR="005528D1">
        <w:t>e</w:t>
      </w:r>
      <w:r>
        <w:t xml:space="preserve"> trip distribution table by TAZ and household size (Table 1). </w:t>
      </w:r>
    </w:p>
    <w:p w:rsidR="008C1DB1" w:rsidRPr="008C1DB1" w:rsidRDefault="008C1DB1" w:rsidP="008C1DB1">
      <w:pPr>
        <w:rPr>
          <w:b/>
          <w:i/>
          <w:sz w:val="20"/>
          <w:szCs w:val="20"/>
        </w:rPr>
      </w:pPr>
      <w:r w:rsidRPr="008C1DB1">
        <w:rPr>
          <w:b/>
          <w:i/>
          <w:sz w:val="20"/>
          <w:szCs w:val="20"/>
        </w:rPr>
        <w:t xml:space="preserve">Table 1. </w:t>
      </w:r>
      <w:r w:rsidR="00E16F3D">
        <w:rPr>
          <w:b/>
          <w:i/>
          <w:sz w:val="20"/>
          <w:szCs w:val="20"/>
        </w:rPr>
        <w:t xml:space="preserve">HBW </w:t>
      </w:r>
      <w:r w:rsidRPr="008C1DB1">
        <w:rPr>
          <w:b/>
          <w:i/>
          <w:sz w:val="20"/>
          <w:szCs w:val="20"/>
        </w:rPr>
        <w:t>Trip Distribution by HH Size</w:t>
      </w:r>
    </w:p>
    <w:tbl>
      <w:tblPr>
        <w:tblW w:w="5236" w:type="dxa"/>
        <w:tblLook w:val="04A0" w:firstRow="1" w:lastRow="0" w:firstColumn="1" w:lastColumn="0" w:noHBand="0" w:noVBand="1"/>
      </w:tblPr>
      <w:tblGrid>
        <w:gridCol w:w="748"/>
        <w:gridCol w:w="748"/>
        <w:gridCol w:w="901"/>
        <w:gridCol w:w="809"/>
        <w:gridCol w:w="809"/>
        <w:gridCol w:w="826"/>
        <w:gridCol w:w="809"/>
      </w:tblGrid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TAZ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hh1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hh2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hh3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hh4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hh5+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516.52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1419.528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642.466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571.064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344.284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3493.86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498.02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672.676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602.072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400.724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3427.49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397.38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1105.192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545.794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576.232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316.064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2940.66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255.3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755.744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537.738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428.944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268.09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2245.82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91.02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63.536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10.07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15.504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180.13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485.44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1489.752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755.25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754.528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420.478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3905.45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170.94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443.08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171.19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126.616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118.524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1030.35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61.42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225.72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132.924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116.28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64.906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601.25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16.28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127.072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88.616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116.28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90.304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438.552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28.86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16.72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23.256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68.836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507.64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1093.488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418.912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224.808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124.168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2369.02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247.16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745.712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541.766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772.616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420.478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2727.73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402.56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1105.192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582.046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718.352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386.614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3194.76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421.8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1302.488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771.362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749.36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457.164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3702.17</w:t>
            </w:r>
          </w:p>
        </w:tc>
      </w:tr>
      <w:tr w:rsidR="008C1DB1" w:rsidRPr="008C1DB1" w:rsidTr="008C1DB1">
        <w:trPr>
          <w:trHeight w:val="263"/>
        </w:trPr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DB1" w:rsidRPr="008C1DB1" w:rsidRDefault="008C1DB1" w:rsidP="008C1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1DB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30326.1</w:t>
            </w:r>
          </w:p>
        </w:tc>
      </w:tr>
    </w:tbl>
    <w:p w:rsidR="00E16F3D" w:rsidRDefault="00E16F3D" w:rsidP="008C1DB1"/>
    <w:p w:rsidR="008C1DB1" w:rsidRPr="008C1DB1" w:rsidRDefault="008C1DB1" w:rsidP="008C1DB1">
      <w:r>
        <w:t xml:space="preserve">The application of the formula </w:t>
      </w:r>
      <w:r w:rsidRPr="008C1DB1">
        <w:rPr>
          <w:i/>
          <w:sz w:val="20"/>
          <w:szCs w:val="20"/>
        </w:rPr>
        <w:t>1.45 x Total Employment</w:t>
      </w:r>
      <w:r>
        <w:rPr>
          <w:i/>
        </w:rPr>
        <w:t xml:space="preserve"> </w:t>
      </w:r>
      <w:r>
        <w:t>for HBW trips</w:t>
      </w:r>
      <w:r w:rsidR="00E16F3D">
        <w:t xml:space="preserve"> allowed for the calculation of total trip attractions and balanced trip attractions </w:t>
      </w:r>
      <w:r w:rsidR="005528D1">
        <w:t xml:space="preserve">using balance factor .299 </w:t>
      </w:r>
      <w:r w:rsidR="00E16F3D">
        <w:t>(Table 2).</w:t>
      </w:r>
    </w:p>
    <w:tbl>
      <w:tblPr>
        <w:tblW w:w="5745" w:type="dxa"/>
        <w:tblLook w:val="04A0" w:firstRow="1" w:lastRow="0" w:firstColumn="1" w:lastColumn="0" w:noHBand="0" w:noVBand="1"/>
      </w:tblPr>
      <w:tblGrid>
        <w:gridCol w:w="683"/>
        <w:gridCol w:w="1320"/>
        <w:gridCol w:w="1587"/>
        <w:gridCol w:w="1262"/>
        <w:gridCol w:w="893"/>
      </w:tblGrid>
      <w:tr w:rsidR="00E16F3D" w:rsidRPr="00E16F3D" w:rsidTr="00E16F3D">
        <w:trPr>
          <w:trHeight w:val="253"/>
        </w:trPr>
        <w:tc>
          <w:tcPr>
            <w:tcW w:w="3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E16F3D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Table 2. Balanced HBW Trip Attractions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TAZ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Attractions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Balance Factor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Balanced trip attractions</w:t>
            </w: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8689.85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2599.94881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983.1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294.137375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78.0895687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3448.1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1031.64997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40800.1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12207.1349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372.65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111.494551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15662.9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4686.24178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1003.4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300.211009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343.65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102.817932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11868.25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3550.90622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15764.4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4716.60995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1149.85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344.027933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648.15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193.922429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363.95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0.29919375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108.891565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E16F3D" w:rsidRPr="00E16F3D" w:rsidTr="00E16F3D">
        <w:trPr>
          <w:trHeight w:val="253"/>
        </w:trPr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101359.35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16F3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30326.084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F3D" w:rsidRPr="00E16F3D" w:rsidRDefault="00E16F3D" w:rsidP="00E16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8C1DB1" w:rsidRDefault="008C1DB1" w:rsidP="008C1DB1"/>
    <w:p w:rsidR="008C1DB1" w:rsidRDefault="00E16F3D" w:rsidP="008C1DB1">
      <w:r>
        <w:lastRenderedPageBreak/>
        <w:t xml:space="preserve">The Iterative Proportional Fitting worksheets for both uncalibrated and calibrated F-factors can be seen in the attached Excel spreadsheets.  </w:t>
      </w:r>
    </w:p>
    <w:p w:rsidR="00F50517" w:rsidRDefault="00E16F3D" w:rsidP="00F50517">
      <w:r>
        <w:t>The resulting e</w:t>
      </w:r>
      <w:r w:rsidR="001E0C50">
        <w:t>stimated average travel time per trip</w:t>
      </w:r>
      <w:r>
        <w:t xml:space="preserve"> for the uncalibrated IPF process</w:t>
      </w:r>
      <w:r w:rsidR="001E0C50">
        <w:t xml:space="preserve"> is </w:t>
      </w:r>
      <w:r w:rsidR="00EB4F5C">
        <w:t xml:space="preserve">9.71 minutes, </w:t>
      </w:r>
      <w:r w:rsidR="001E0C50">
        <w:t>30% higher than the observed</w:t>
      </w:r>
      <w:r w:rsidR="0000545A">
        <w:t xml:space="preserve"> </w:t>
      </w:r>
      <w:r w:rsidR="00EB4F5C">
        <w:t>7.45 minutes</w:t>
      </w:r>
      <w:r w:rsidR="001E0C50">
        <w:t xml:space="preserve">.  This overestimation is likely due to </w:t>
      </w:r>
      <w:r w:rsidR="007B7A3D">
        <w:t xml:space="preserve">the use of </w:t>
      </w:r>
      <w:r w:rsidR="001E0C50">
        <w:t xml:space="preserve">a single factor, household size, for trip generation. A more fine-grained analysis such as HH size / income / number of vehicles for trip generation would likely be closer to the observed data. </w:t>
      </w:r>
    </w:p>
    <w:p w:rsidR="00160A98" w:rsidRPr="00160A98" w:rsidRDefault="00160A98" w:rsidP="00160A98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</w:t>
      </w:r>
      <w:r w:rsidRPr="00160A98">
        <w:rPr>
          <w:b/>
          <w:i/>
          <w:sz w:val="20"/>
          <w:szCs w:val="20"/>
        </w:rPr>
        <w:t xml:space="preserve"> 1.</w:t>
      </w:r>
      <w:r>
        <w:rPr>
          <w:b/>
          <w:i/>
          <w:sz w:val="20"/>
          <w:szCs w:val="20"/>
        </w:rPr>
        <w:t xml:space="preserve"> </w:t>
      </w:r>
      <w:r w:rsidRPr="00160A98">
        <w:rPr>
          <w:b/>
          <w:bCs/>
          <w:i/>
          <w:sz w:val="20"/>
          <w:szCs w:val="20"/>
        </w:rPr>
        <w:t>Observed vs Estimated Trip Length Frequency Distribution</w:t>
      </w:r>
    </w:p>
    <w:p w:rsidR="008C1DB1" w:rsidRDefault="008C1DB1" w:rsidP="00F50517">
      <w:r>
        <w:rPr>
          <w:noProof/>
        </w:rPr>
        <w:drawing>
          <wp:inline distT="0" distB="0" distL="0" distR="0" wp14:anchorId="503C4EAD" wp14:editId="3DD54F10">
            <wp:extent cx="4914900" cy="2919264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60A98" w:rsidRPr="00160A98" w:rsidRDefault="00160A98" w:rsidP="00160A98">
      <w:pPr>
        <w:rPr>
          <w:b/>
          <w:i/>
          <w:sz w:val="20"/>
          <w:szCs w:val="20"/>
        </w:rPr>
      </w:pPr>
      <w:r w:rsidRPr="00160A98">
        <w:rPr>
          <w:b/>
          <w:i/>
          <w:sz w:val="20"/>
          <w:szCs w:val="20"/>
        </w:rPr>
        <w:t>Fig 2</w:t>
      </w:r>
      <w:r>
        <w:rPr>
          <w:b/>
          <w:i/>
          <w:sz w:val="20"/>
          <w:szCs w:val="20"/>
        </w:rPr>
        <w:t>.</w:t>
      </w:r>
      <w:r w:rsidRPr="00160A98">
        <w:rPr>
          <w:b/>
          <w:i/>
          <w:sz w:val="20"/>
          <w:szCs w:val="20"/>
        </w:rPr>
        <w:t xml:space="preserve"> </w:t>
      </w:r>
      <w:r w:rsidRPr="00160A98">
        <w:rPr>
          <w:b/>
          <w:bCs/>
          <w:i/>
          <w:sz w:val="20"/>
          <w:szCs w:val="20"/>
        </w:rPr>
        <w:t>Observed vs Estimated Trip Length Frequency Distribution - Calibrated F-Factors</w:t>
      </w:r>
    </w:p>
    <w:p w:rsidR="008C1DB1" w:rsidRDefault="008C1DB1" w:rsidP="00F50517">
      <w:r>
        <w:rPr>
          <w:noProof/>
        </w:rPr>
        <w:drawing>
          <wp:inline distT="0" distB="0" distL="0" distR="0" wp14:anchorId="3A64946B" wp14:editId="43588B0E">
            <wp:extent cx="4924425" cy="29908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28D1" w:rsidRDefault="00EB4F5C" w:rsidP="00F50517">
      <w:r>
        <w:lastRenderedPageBreak/>
        <w:t xml:space="preserve">Using Calibrated – F Factors, the estimated average total time was reduced to 8.77 minutes, 18% higher than the observed data. </w:t>
      </w:r>
      <w:r w:rsidR="00292E6E">
        <w:t xml:space="preserve">While still not quite matching the observed data, the use of calibrated F-factors noticeably reduced the observed to estimated discrepancy (Table 3). </w:t>
      </w:r>
    </w:p>
    <w:tbl>
      <w:tblPr>
        <w:tblW w:w="4230" w:type="dxa"/>
        <w:tblLook w:val="04A0" w:firstRow="1" w:lastRow="0" w:firstColumn="1" w:lastColumn="0" w:noHBand="0" w:noVBand="1"/>
      </w:tblPr>
      <w:tblGrid>
        <w:gridCol w:w="2894"/>
        <w:gridCol w:w="1336"/>
      </w:tblGrid>
      <w:tr w:rsidR="00EB4F5C" w:rsidRPr="00EB4F5C" w:rsidTr="00EB4F5C">
        <w:trPr>
          <w:trHeight w:val="319"/>
        </w:trPr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4F5C" w:rsidRPr="00EB4F5C" w:rsidRDefault="00EB4F5C" w:rsidP="00EB4F5C">
            <w:pPr>
              <w:spacing w:after="0" w:line="240" w:lineRule="auto"/>
              <w:rPr>
                <w:rFonts w:eastAsia="Times New Roman" w:cstheme="minorHAnsi"/>
                <w:b/>
                <w:i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i/>
                <w:sz w:val="20"/>
                <w:szCs w:val="20"/>
              </w:rPr>
              <w:t>Table 3. Average Travel Times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4F5C" w:rsidRPr="00EB4F5C" w:rsidRDefault="00EB4F5C" w:rsidP="00EB4F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B4F5C" w:rsidRPr="00EB4F5C" w:rsidTr="00EB4F5C">
        <w:trPr>
          <w:trHeight w:val="319"/>
        </w:trPr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F5C" w:rsidRPr="00EB4F5C" w:rsidRDefault="00EB4F5C" w:rsidP="00EB4F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F5C" w:rsidRPr="00EB4F5C" w:rsidRDefault="00EB4F5C" w:rsidP="00EB4F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B4F5C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EB4F5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Travel Time (min)</w:t>
            </w:r>
          </w:p>
        </w:tc>
      </w:tr>
      <w:tr w:rsidR="00EB4F5C" w:rsidRPr="00EB4F5C" w:rsidTr="006B56B0">
        <w:trPr>
          <w:trHeight w:val="243"/>
        </w:trPr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F5C" w:rsidRPr="00EB4F5C" w:rsidRDefault="00EB4F5C" w:rsidP="00EB4F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4F5C">
              <w:rPr>
                <w:rFonts w:eastAsia="Times New Roman" w:cstheme="minorHAnsi"/>
                <w:color w:val="000000"/>
                <w:sz w:val="20"/>
                <w:szCs w:val="20"/>
              </w:rPr>
              <w:t>Observed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4F5C" w:rsidRPr="00EB4F5C" w:rsidRDefault="00EB4F5C" w:rsidP="00EB4F5C">
            <w:pPr>
              <w:spacing w:after="0" w:line="240" w:lineRule="auto"/>
              <w:jc w:val="right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EB4F5C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7.45</w:t>
            </w:r>
          </w:p>
        </w:tc>
      </w:tr>
      <w:tr w:rsidR="00EB4F5C" w:rsidRPr="00EB4F5C" w:rsidTr="00EB4F5C">
        <w:trPr>
          <w:trHeight w:val="319"/>
        </w:trPr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F5C" w:rsidRPr="00EB4F5C" w:rsidRDefault="00EB4F5C" w:rsidP="00EB4F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Estimated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4F5C" w:rsidRPr="00EB4F5C" w:rsidRDefault="00EB4F5C" w:rsidP="00EB4F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4F5C">
              <w:rPr>
                <w:rFonts w:eastAsia="Times New Roman" w:cstheme="minorHAnsi"/>
                <w:color w:val="000000"/>
                <w:sz w:val="20"/>
                <w:szCs w:val="20"/>
              </w:rPr>
              <w:t>9.71</w:t>
            </w:r>
          </w:p>
        </w:tc>
      </w:tr>
      <w:tr w:rsidR="00EB4F5C" w:rsidRPr="00EB4F5C" w:rsidTr="00EB4F5C">
        <w:trPr>
          <w:trHeight w:val="319"/>
        </w:trPr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F5C" w:rsidRPr="00EB4F5C" w:rsidRDefault="00EB4F5C" w:rsidP="00EB4F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Estimated (Calibrated F-Factor)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4F5C" w:rsidRPr="00EB4F5C" w:rsidRDefault="00EB4F5C" w:rsidP="00EB4F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4F5C">
              <w:rPr>
                <w:rFonts w:eastAsia="Times New Roman" w:cstheme="minorHAnsi"/>
                <w:color w:val="000000"/>
                <w:sz w:val="20"/>
                <w:szCs w:val="20"/>
              </w:rPr>
              <w:t>8.77</w:t>
            </w:r>
          </w:p>
        </w:tc>
      </w:tr>
    </w:tbl>
    <w:p w:rsidR="00EB4F5C" w:rsidRDefault="00EB4F5C" w:rsidP="00F50517"/>
    <w:p w:rsidR="00292E6E" w:rsidRDefault="00163C24" w:rsidP="00163C24">
      <w:pPr>
        <w:pStyle w:val="ListParagraph"/>
        <w:numPr>
          <w:ilvl w:val="0"/>
          <w:numId w:val="1"/>
        </w:numPr>
      </w:pPr>
      <w:r>
        <w:t>Mode Choice Models</w:t>
      </w:r>
    </w:p>
    <w:p w:rsidR="00255304" w:rsidRDefault="00255304" w:rsidP="00255304"/>
    <w:tbl>
      <w:tblPr>
        <w:tblW w:w="837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960"/>
        <w:gridCol w:w="810"/>
        <w:gridCol w:w="1710"/>
        <w:gridCol w:w="1710"/>
        <w:gridCol w:w="1440"/>
      </w:tblGrid>
      <w:tr w:rsidR="00041AC1" w:rsidRPr="00FD6DC7" w:rsidTr="00E3651B">
        <w:trPr>
          <w:trHeight w:hRule="exact" w:val="327"/>
          <w:tblHeader/>
        </w:trPr>
        <w:tc>
          <w:tcPr>
            <w:tcW w:w="8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1AC1" w:rsidRPr="00255304" w:rsidRDefault="00041AC1" w:rsidP="00041A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 xml:space="preserve">Table 4. Mode Choice and Probabilities </w:t>
            </w:r>
          </w:p>
        </w:tc>
      </w:tr>
      <w:tr w:rsidR="006B56B0" w:rsidRPr="00FD6DC7" w:rsidTr="006B56B0">
        <w:trPr>
          <w:trHeight w:hRule="exact" w:val="327"/>
          <w:tblHeader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255304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="00FD6DC7"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lternative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255304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="00FD6DC7"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vailable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255304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</w:t>
            </w:r>
            <w:r w:rsidR="00FD6DC7"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hosen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255304" w:rsidP="00255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Proportion by M</w:t>
            </w:r>
            <w:r w:rsidR="00FD6DC7"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255304" w:rsidP="00255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="00FD6DC7"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roportion</w:t>
            </w: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All Modes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255304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MNL Probability</w:t>
            </w:r>
          </w:p>
        </w:tc>
      </w:tr>
      <w:tr w:rsidR="006B56B0" w:rsidRPr="00FD6DC7" w:rsidTr="006B56B0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Drive Alone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E17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  <w:r w:rsidR="00955503"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</w:t>
            </w:r>
            <w:r w:rsidR="00955503"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6B56B0" w:rsidRPr="00FD6DC7" w:rsidTr="006B56B0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Shared Ride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E17F6A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0.078</w:t>
            </w:r>
          </w:p>
        </w:tc>
      </w:tr>
      <w:tr w:rsidR="006B56B0" w:rsidRPr="00FD6DC7" w:rsidTr="006B56B0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Shared Ride 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E17F6A" w:rsidP="00E17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0.078</w:t>
            </w:r>
          </w:p>
        </w:tc>
      </w:tr>
      <w:tr w:rsidR="006B56B0" w:rsidRPr="00FD6DC7" w:rsidTr="006B56B0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Transit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E17F6A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  <w:r w:rsidR="00955503"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B56B0" w:rsidRPr="00FD6DC7" w:rsidTr="006B56B0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E17F6A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</w:t>
            </w:r>
            <w:r w:rsidR="00955503"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</w:t>
            </w:r>
            <w:r w:rsidR="00955503"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6B56B0" w:rsidRPr="00FD6DC7" w:rsidTr="006B56B0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FD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E17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6DC7" w:rsidRPr="00FD6DC7" w:rsidRDefault="00FD6DC7" w:rsidP="00955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0.11</w:t>
            </w:r>
            <w:r w:rsidR="00955503"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</w:tbl>
    <w:p w:rsidR="00163C24" w:rsidRDefault="00163C24" w:rsidP="00163C24"/>
    <w:tbl>
      <w:tblPr>
        <w:tblW w:w="837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960"/>
        <w:gridCol w:w="810"/>
        <w:gridCol w:w="1710"/>
        <w:gridCol w:w="1710"/>
        <w:gridCol w:w="1440"/>
      </w:tblGrid>
      <w:tr w:rsidR="00041AC1" w:rsidRPr="00FD6DC7" w:rsidTr="006F4D58">
        <w:trPr>
          <w:trHeight w:hRule="exact" w:val="327"/>
          <w:tblHeader/>
        </w:trPr>
        <w:tc>
          <w:tcPr>
            <w:tcW w:w="8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1AC1" w:rsidRPr="00255304" w:rsidRDefault="00041AC1" w:rsidP="006F4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 xml:space="preserve">Table 4. Mode Choice and Probabilities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>– excluding walk</w:t>
            </w:r>
          </w:p>
        </w:tc>
      </w:tr>
      <w:tr w:rsidR="00041AC1" w:rsidRPr="00FD6DC7" w:rsidTr="006F4D58">
        <w:trPr>
          <w:trHeight w:hRule="exact" w:val="327"/>
          <w:tblHeader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lternative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vailable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</w:t>
            </w:r>
            <w:r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hosen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Proportion by M</w:t>
            </w:r>
            <w:r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FD6D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roportion</w:t>
            </w: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All Modes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MNL Probability</w:t>
            </w:r>
          </w:p>
        </w:tc>
      </w:tr>
      <w:tr w:rsidR="00041AC1" w:rsidRPr="00FD6DC7" w:rsidTr="006F4D58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Drive Alone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0.751</w:t>
            </w:r>
          </w:p>
        </w:tc>
      </w:tr>
      <w:tr w:rsidR="00041AC1" w:rsidRPr="00FD6DC7" w:rsidTr="006F4D58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Shared Ride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FA1E8B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0.078</w:t>
            </w:r>
          </w:p>
          <w:p w:rsidR="00FA1E8B" w:rsidRPr="00FD6DC7" w:rsidRDefault="00FA1E8B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0.088</w:t>
            </w:r>
          </w:p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1AC1" w:rsidRPr="00FD6DC7" w:rsidTr="006F4D58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Shared Ride 3+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FA1E8B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0.078</w:t>
            </w:r>
          </w:p>
          <w:p w:rsidR="00FA1E8B" w:rsidRPr="00FD6DC7" w:rsidRDefault="00FA1E8B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0.088</w:t>
            </w:r>
          </w:p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1AC1" w:rsidRPr="00FD6DC7" w:rsidTr="006F4D58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Transit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FA1E8B" w:rsidP="00FA1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0.095</w:t>
            </w:r>
          </w:p>
          <w:p w:rsidR="00FA1E8B" w:rsidRPr="00FD6DC7" w:rsidRDefault="00FA1E8B" w:rsidP="00FA1E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0.107</w:t>
            </w:r>
          </w:p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41AC1" w:rsidRPr="00FD6DC7" w:rsidTr="006F4D58">
        <w:trPr>
          <w:trHeight w:hRule="exact" w:val="259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D6D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530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FA1E8B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0.024</w:t>
            </w:r>
          </w:p>
          <w:p w:rsidR="00FA1E8B" w:rsidRPr="00FD6DC7" w:rsidRDefault="00FA1E8B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1AC1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0.027</w:t>
            </w:r>
          </w:p>
          <w:p w:rsidR="00041AC1" w:rsidRPr="00FD6DC7" w:rsidRDefault="00041AC1" w:rsidP="006F4D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E17F6A" w:rsidRDefault="00E17F6A" w:rsidP="00163C24"/>
    <w:p w:rsidR="00E62DE6" w:rsidRDefault="00E62DE6" w:rsidP="00163C24">
      <w:r>
        <w:t xml:space="preserve">Our calculated Chi-squared value for Model 2 (unrestricted) against Model 3 (restricted) for level of significance 0.01 with 3 degrees of freedom is 0.01. As this is much smaller than the table value of 11.35, MTC concludes that Model 3 is not significantly different from Model 2.  </w:t>
      </w:r>
      <w:bookmarkStart w:id="0" w:name="_GoBack"/>
      <w:bookmarkEnd w:id="0"/>
    </w:p>
    <w:p w:rsidR="00E62DE6" w:rsidRDefault="00E62DE6" w:rsidP="00163C24"/>
    <w:p w:rsidR="00E62DE6" w:rsidRDefault="00E62DE6" w:rsidP="00163C24">
      <w:r>
        <w:t xml:space="preserve"> </w:t>
      </w:r>
    </w:p>
    <w:sectPr w:rsidR="00E62DE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136" w:rsidRDefault="00DA6136" w:rsidP="00160A98">
      <w:pPr>
        <w:spacing w:after="0" w:line="240" w:lineRule="auto"/>
      </w:pPr>
      <w:r>
        <w:separator/>
      </w:r>
    </w:p>
  </w:endnote>
  <w:endnote w:type="continuationSeparator" w:id="0">
    <w:p w:rsidR="00DA6136" w:rsidRDefault="00DA6136" w:rsidP="0016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806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A98" w:rsidRDefault="00160A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0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60A98" w:rsidRDefault="00160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136" w:rsidRDefault="00DA6136" w:rsidP="00160A98">
      <w:pPr>
        <w:spacing w:after="0" w:line="240" w:lineRule="auto"/>
      </w:pPr>
      <w:r>
        <w:separator/>
      </w:r>
    </w:p>
  </w:footnote>
  <w:footnote w:type="continuationSeparator" w:id="0">
    <w:p w:rsidR="00DA6136" w:rsidRDefault="00DA6136" w:rsidP="0016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97CE3"/>
    <w:multiLevelType w:val="hybridMultilevel"/>
    <w:tmpl w:val="FCA4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BB"/>
    <w:rsid w:val="0000545A"/>
    <w:rsid w:val="00041AC1"/>
    <w:rsid w:val="00160A98"/>
    <w:rsid w:val="00163C24"/>
    <w:rsid w:val="001E0C50"/>
    <w:rsid w:val="00255304"/>
    <w:rsid w:val="00292E6E"/>
    <w:rsid w:val="00360F78"/>
    <w:rsid w:val="004E20BE"/>
    <w:rsid w:val="005528D1"/>
    <w:rsid w:val="006B56B0"/>
    <w:rsid w:val="006B72BB"/>
    <w:rsid w:val="007B7A3D"/>
    <w:rsid w:val="008C1DB1"/>
    <w:rsid w:val="00955503"/>
    <w:rsid w:val="00B91D57"/>
    <w:rsid w:val="00BA61AD"/>
    <w:rsid w:val="00DA6136"/>
    <w:rsid w:val="00E16F3D"/>
    <w:rsid w:val="00E17F6A"/>
    <w:rsid w:val="00E62DE6"/>
    <w:rsid w:val="00EB4F5C"/>
    <w:rsid w:val="00F50517"/>
    <w:rsid w:val="00FA1E8B"/>
    <w:rsid w:val="00F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EB1E6-9AC6-45E0-84BB-8BE399B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1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98"/>
  </w:style>
  <w:style w:type="paragraph" w:styleId="Footer">
    <w:name w:val="footer"/>
    <w:basedOn w:val="Normal"/>
    <w:link w:val="FooterChar"/>
    <w:uiPriority w:val="99"/>
    <w:unhideWhenUsed/>
    <w:rsid w:val="0016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aavedrak\KS_personal\USP_587\HW3_trip_distribution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aavedrak\KS_personal\USP_587\HW3_trip_distrib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Observed</c:v>
          </c:tx>
          <c:marker>
            <c:symbol val="square"/>
            <c:size val="5"/>
          </c:marker>
          <c:cat>
            <c:numRef>
              <c:f>'Observed Trips'!$H$4:$H$9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'Observed Trips'!$I$4:$I$9</c:f>
              <c:numCache>
                <c:formatCode>General</c:formatCode>
                <c:ptCount val="6"/>
                <c:pt idx="0">
                  <c:v>22.393202097373084</c:v>
                </c:pt>
                <c:pt idx="1">
                  <c:v>60.630873747465536</c:v>
                </c:pt>
                <c:pt idx="2">
                  <c:v>16.078991935323412</c:v>
                </c:pt>
                <c:pt idx="3">
                  <c:v>0.87765601108623259</c:v>
                </c:pt>
                <c:pt idx="4">
                  <c:v>1.9276208751789516E-2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9E8-4EDC-8EBD-CA21411DC9D0}"/>
            </c:ext>
          </c:extLst>
        </c:ser>
        <c:ser>
          <c:idx val="1"/>
          <c:order val="1"/>
          <c:tx>
            <c:v>Estimated</c:v>
          </c:tx>
          <c:val>
            <c:numRef>
              <c:f>'Observed Trips'!$I$23:$I$28</c:f>
              <c:numCache>
                <c:formatCode>General</c:formatCode>
                <c:ptCount val="6"/>
                <c:pt idx="0">
                  <c:v>2.153335597967537</c:v>
                </c:pt>
                <c:pt idx="1">
                  <c:v>59.432794123039891</c:v>
                </c:pt>
                <c:pt idx="2">
                  <c:v>35.860169108497388</c:v>
                </c:pt>
                <c:pt idx="3">
                  <c:v>2.4652122426905927</c:v>
                </c:pt>
                <c:pt idx="4">
                  <c:v>8.8488927804604794E-2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9E8-4EDC-8EBD-CA21411DC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779520"/>
        <c:axId val="597785008"/>
      </c:lineChart>
      <c:catAx>
        <c:axId val="59777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7785008"/>
        <c:crosses val="autoZero"/>
        <c:auto val="1"/>
        <c:lblAlgn val="ctr"/>
        <c:lblOffset val="100"/>
        <c:noMultiLvlLbl val="0"/>
      </c:catAx>
      <c:valAx>
        <c:axId val="5977850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97779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Observed</c:v>
          </c:tx>
          <c:marker>
            <c:symbol val="square"/>
            <c:size val="5"/>
          </c:marker>
          <c:cat>
            <c:numRef>
              <c:f>'Observed Trips'!$H$4:$H$9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'Observed Trips'!$I$4:$I$9</c:f>
              <c:numCache>
                <c:formatCode>General</c:formatCode>
                <c:ptCount val="6"/>
                <c:pt idx="0">
                  <c:v>22.393202097373084</c:v>
                </c:pt>
                <c:pt idx="1">
                  <c:v>60.630873747465536</c:v>
                </c:pt>
                <c:pt idx="2">
                  <c:v>16.078991935323412</c:v>
                </c:pt>
                <c:pt idx="3">
                  <c:v>0.87765601108623259</c:v>
                </c:pt>
                <c:pt idx="4">
                  <c:v>1.9276208751789516E-2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9E8-4EDC-8EBD-CA21411DC9D0}"/>
            </c:ext>
          </c:extLst>
        </c:ser>
        <c:ser>
          <c:idx val="1"/>
          <c:order val="1"/>
          <c:tx>
            <c:v>Estimated</c:v>
          </c:tx>
          <c:val>
            <c:numRef>
              <c:f>'Observed Trips'!$I$54:$I$59</c:f>
              <c:numCache>
                <c:formatCode>General</c:formatCode>
                <c:ptCount val="6"/>
                <c:pt idx="0">
                  <c:v>3.4576757896559163</c:v>
                </c:pt>
                <c:pt idx="1">
                  <c:v>72.780248423024943</c:v>
                </c:pt>
                <c:pt idx="2">
                  <c:v>22.827224051132283</c:v>
                </c:pt>
                <c:pt idx="3">
                  <c:v>0.91477472375841262</c:v>
                </c:pt>
                <c:pt idx="4">
                  <c:v>2.0077012428481276E-2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9E8-4EDC-8EBD-CA21411DC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782656"/>
        <c:axId val="597781480"/>
      </c:lineChart>
      <c:catAx>
        <c:axId val="59778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7781480"/>
        <c:crosses val="autoZero"/>
        <c:auto val="1"/>
        <c:lblAlgn val="ctr"/>
        <c:lblOffset val="100"/>
        <c:noMultiLvlLbl val="0"/>
      </c:catAx>
      <c:valAx>
        <c:axId val="597781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97782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0.75793</cdr:x>
      <cdr:y>0.90725</cdr:y>
    </cdr:from>
    <cdr:to>
      <cdr:x>0.92009</cdr:x>
      <cdr:y>0.97101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071812" y="2981325"/>
          <a:ext cx="65722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Min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0.75793</cdr:x>
      <cdr:y>0.90725</cdr:y>
    </cdr:from>
    <cdr:to>
      <cdr:x>0.92009</cdr:x>
      <cdr:y>0.97101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071812" y="2981325"/>
          <a:ext cx="65722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Min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16</cp:revision>
  <dcterms:created xsi:type="dcterms:W3CDTF">2018-05-25T14:52:00Z</dcterms:created>
  <dcterms:modified xsi:type="dcterms:W3CDTF">2018-05-25T22:47:00Z</dcterms:modified>
</cp:coreProperties>
</file>