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88E" w:rsidRPr="0091488E" w:rsidRDefault="0091488E" w:rsidP="0091488E">
      <w:pPr>
        <w:pStyle w:val="NoSpacing"/>
        <w:rPr>
          <w:b/>
        </w:rPr>
      </w:pPr>
      <w:r w:rsidRPr="0091488E">
        <w:rPr>
          <w:b/>
        </w:rPr>
        <w:t>Kevin Saavedra</w:t>
      </w:r>
    </w:p>
    <w:p w:rsidR="0091488E" w:rsidRPr="0091488E" w:rsidRDefault="0091488E" w:rsidP="0091488E">
      <w:pPr>
        <w:pStyle w:val="NoSpacing"/>
        <w:rPr>
          <w:u w:val="single"/>
        </w:rPr>
      </w:pPr>
      <w:r w:rsidRPr="0091488E">
        <w:rPr>
          <w:u w:val="single"/>
        </w:rPr>
        <w:t>USP 587 Homework 4: Network Assignment</w:t>
      </w:r>
    </w:p>
    <w:p w:rsidR="0091488E" w:rsidRDefault="0091488E" w:rsidP="0091488E">
      <w:pPr>
        <w:pStyle w:val="NoSpacing"/>
      </w:pPr>
    </w:p>
    <w:p w:rsidR="008154BA" w:rsidRPr="008154BA" w:rsidRDefault="008154BA" w:rsidP="008154BA">
      <w:pPr>
        <w:pStyle w:val="ListParagraph"/>
        <w:numPr>
          <w:ilvl w:val="0"/>
          <w:numId w:val="1"/>
        </w:numPr>
        <w:rPr>
          <w:b/>
        </w:rPr>
      </w:pPr>
      <w:r w:rsidRPr="008154BA">
        <w:rPr>
          <w:b/>
        </w:rPr>
        <w:t>Task 1: Baseline Scenario</w:t>
      </w:r>
    </w:p>
    <w:p w:rsidR="00483452" w:rsidRDefault="00430288" w:rsidP="00483452">
      <w:r>
        <w:t>Utilizing the provided file, TrafAsmtUE.exe, t</w:t>
      </w:r>
      <w:r w:rsidR="00483452">
        <w:t>he total network travel time</w:t>
      </w:r>
      <w:r w:rsidR="008154BA">
        <w:t xml:space="preserve"> for the Baseline Scenario</w:t>
      </w:r>
      <w:r w:rsidR="00483452">
        <w:t xml:space="preserve"> </w:t>
      </w:r>
      <w:r>
        <w:t>is</w:t>
      </w:r>
      <w:r w:rsidR="00483452">
        <w:t xml:space="preserve"> 42,</w:t>
      </w:r>
      <w:r w:rsidR="00AB7067">
        <w:t>841 vehicle minutes</w:t>
      </w:r>
      <w:r>
        <w:t xml:space="preserve">.  This could be calculated manually by </w:t>
      </w:r>
      <w:r w:rsidR="00AB7067">
        <w:t xml:space="preserve">using the sum product of Flow and Congested Time. </w:t>
      </w:r>
      <w:r w:rsidR="008154BA">
        <w:t xml:space="preserve"> In this baseline scenario, busiest streets by volume are in the central and northern parts of </w:t>
      </w:r>
      <w:proofErr w:type="spellStart"/>
      <w:r w:rsidR="008154BA">
        <w:t>Simpletown</w:t>
      </w:r>
      <w:proofErr w:type="spellEnd"/>
      <w:r w:rsidR="008154BA">
        <w:t>, comprising Chagrin Road, Murphy’s Way, Hypotenuse Street, Central Avenue, Commerce Avenue, and Bella Luna Road (Table 1).</w:t>
      </w:r>
    </w:p>
    <w:tbl>
      <w:tblPr>
        <w:tblW w:w="5040" w:type="dxa"/>
        <w:tblLook w:val="04A0" w:firstRow="1" w:lastRow="0" w:firstColumn="1" w:lastColumn="0" w:noHBand="0" w:noVBand="1"/>
      </w:tblPr>
      <w:tblGrid>
        <w:gridCol w:w="1440"/>
        <w:gridCol w:w="2070"/>
        <w:gridCol w:w="1530"/>
      </w:tblGrid>
      <w:tr w:rsidR="00A83301" w:rsidRPr="00483452" w:rsidTr="006B1559">
        <w:trPr>
          <w:trHeight w:val="296"/>
        </w:trPr>
        <w:tc>
          <w:tcPr>
            <w:tcW w:w="5040" w:type="dxa"/>
            <w:gridSpan w:val="3"/>
            <w:tcBorders>
              <w:top w:val="nil"/>
              <w:left w:val="nil"/>
            </w:tcBorders>
            <w:vAlign w:val="center"/>
          </w:tcPr>
          <w:p w:rsidR="00A83301" w:rsidRPr="009C1BD0" w:rsidRDefault="009C1BD0" w:rsidP="00483452">
            <w:pPr>
              <w:spacing w:after="0" w:line="240" w:lineRule="auto"/>
              <w:rPr>
                <w:rFonts w:ascii="Calibri" w:eastAsia="Times New Roman" w:hAnsi="Calibri" w:cs="Calibri"/>
                <w:b/>
                <w:i/>
                <w:color w:val="000000"/>
                <w:sz w:val="20"/>
                <w:szCs w:val="20"/>
              </w:rPr>
            </w:pPr>
            <w:r w:rsidRPr="009C1BD0">
              <w:rPr>
                <w:rFonts w:ascii="Calibri" w:eastAsia="Times New Roman" w:hAnsi="Calibri" w:cs="Calibri"/>
                <w:b/>
                <w:i/>
                <w:color w:val="000000"/>
                <w:sz w:val="20"/>
                <w:szCs w:val="20"/>
              </w:rPr>
              <w:t>Table</w:t>
            </w:r>
            <w:r w:rsidR="00A83301" w:rsidRPr="009C1BD0">
              <w:rPr>
                <w:rFonts w:ascii="Calibri" w:eastAsia="Times New Roman" w:hAnsi="Calibri" w:cs="Calibri"/>
                <w:b/>
                <w:i/>
                <w:color w:val="000000"/>
                <w:sz w:val="20"/>
                <w:szCs w:val="20"/>
              </w:rPr>
              <w:t xml:space="preserve"> 1: Busiest Links by Volume.</w:t>
            </w:r>
          </w:p>
        </w:tc>
      </w:tr>
      <w:tr w:rsidR="000B7DB4" w:rsidRPr="00483452" w:rsidTr="006B1559">
        <w:trPr>
          <w:trHeight w:val="296"/>
        </w:trPr>
        <w:tc>
          <w:tcPr>
            <w:tcW w:w="1440" w:type="dxa"/>
            <w:tcBorders>
              <w:top w:val="nil"/>
              <w:left w:val="nil"/>
              <w:bottom w:val="single" w:sz="4" w:space="0" w:color="auto"/>
              <w:right w:val="nil"/>
            </w:tcBorders>
            <w:shd w:val="clear" w:color="auto" w:fill="auto"/>
            <w:noWrap/>
            <w:vAlign w:val="center"/>
            <w:hideMark/>
          </w:tcPr>
          <w:p w:rsidR="000B7DB4" w:rsidRPr="009C1BD0" w:rsidRDefault="000B7DB4" w:rsidP="009C1BD0">
            <w:pPr>
              <w:spacing w:after="0" w:line="240" w:lineRule="auto"/>
              <w:jc w:val="right"/>
              <w:rPr>
                <w:rFonts w:ascii="Calibri" w:eastAsia="Times New Roman" w:hAnsi="Calibri" w:cs="Calibri"/>
                <w:b/>
                <w:color w:val="000000"/>
                <w:sz w:val="20"/>
                <w:szCs w:val="20"/>
              </w:rPr>
            </w:pPr>
            <w:r w:rsidRPr="009C1BD0">
              <w:rPr>
                <w:rFonts w:ascii="Calibri" w:eastAsia="Times New Roman" w:hAnsi="Calibri" w:cs="Calibri"/>
                <w:b/>
                <w:color w:val="000000"/>
                <w:sz w:val="20"/>
                <w:szCs w:val="20"/>
              </w:rPr>
              <w:t>Link Number</w:t>
            </w:r>
          </w:p>
        </w:tc>
        <w:tc>
          <w:tcPr>
            <w:tcW w:w="2070" w:type="dxa"/>
            <w:tcBorders>
              <w:top w:val="nil"/>
              <w:left w:val="nil"/>
              <w:bottom w:val="single" w:sz="4" w:space="0" w:color="auto"/>
              <w:right w:val="nil"/>
            </w:tcBorders>
            <w:vAlign w:val="center"/>
          </w:tcPr>
          <w:p w:rsidR="000B7DB4" w:rsidRPr="009C1BD0" w:rsidRDefault="000B7DB4" w:rsidP="009C1BD0">
            <w:pPr>
              <w:spacing w:after="0" w:line="240" w:lineRule="auto"/>
              <w:jc w:val="right"/>
              <w:rPr>
                <w:rFonts w:ascii="Calibri" w:eastAsia="Times New Roman" w:hAnsi="Calibri" w:cs="Calibri"/>
                <w:b/>
                <w:color w:val="000000"/>
                <w:sz w:val="20"/>
                <w:szCs w:val="20"/>
              </w:rPr>
            </w:pPr>
            <w:r w:rsidRPr="009C1BD0">
              <w:rPr>
                <w:rFonts w:ascii="Calibri" w:eastAsia="Times New Roman" w:hAnsi="Calibri" w:cs="Calibri"/>
                <w:b/>
                <w:color w:val="000000"/>
                <w:sz w:val="20"/>
                <w:szCs w:val="20"/>
              </w:rPr>
              <w:t>Street Name</w:t>
            </w:r>
          </w:p>
        </w:tc>
        <w:tc>
          <w:tcPr>
            <w:tcW w:w="1530" w:type="dxa"/>
            <w:tcBorders>
              <w:top w:val="nil"/>
              <w:left w:val="nil"/>
              <w:bottom w:val="single" w:sz="4" w:space="0" w:color="auto"/>
              <w:right w:val="nil"/>
            </w:tcBorders>
            <w:shd w:val="clear" w:color="auto" w:fill="auto"/>
            <w:noWrap/>
            <w:vAlign w:val="center"/>
            <w:hideMark/>
          </w:tcPr>
          <w:p w:rsidR="000B7DB4" w:rsidRPr="009C1BD0" w:rsidRDefault="000B7DB4" w:rsidP="009C1BD0">
            <w:pPr>
              <w:spacing w:after="0" w:line="240" w:lineRule="auto"/>
              <w:jc w:val="right"/>
              <w:rPr>
                <w:rFonts w:ascii="Calibri" w:eastAsia="Times New Roman" w:hAnsi="Calibri" w:cs="Calibri"/>
                <w:b/>
                <w:color w:val="000000"/>
                <w:sz w:val="20"/>
                <w:szCs w:val="20"/>
              </w:rPr>
            </w:pPr>
            <w:r w:rsidRPr="009C1BD0">
              <w:rPr>
                <w:rFonts w:ascii="Calibri" w:eastAsia="Times New Roman" w:hAnsi="Calibri" w:cs="Calibri"/>
                <w:b/>
                <w:color w:val="000000"/>
                <w:sz w:val="20"/>
                <w:szCs w:val="20"/>
              </w:rPr>
              <w:t>Flow (</w:t>
            </w:r>
            <w:proofErr w:type="spellStart"/>
            <w:r w:rsidRPr="009C1BD0">
              <w:rPr>
                <w:rFonts w:ascii="Calibri" w:eastAsia="Times New Roman" w:hAnsi="Calibri" w:cs="Calibri"/>
                <w:b/>
                <w:color w:val="000000"/>
                <w:sz w:val="20"/>
                <w:szCs w:val="20"/>
              </w:rPr>
              <w:t>vph</w:t>
            </w:r>
            <w:proofErr w:type="spellEnd"/>
            <w:r w:rsidRPr="009C1BD0">
              <w:rPr>
                <w:rFonts w:ascii="Calibri" w:eastAsia="Times New Roman" w:hAnsi="Calibri" w:cs="Calibri"/>
                <w:b/>
                <w:color w:val="000000"/>
                <w:sz w:val="20"/>
                <w:szCs w:val="20"/>
              </w:rPr>
              <w:t>)</w:t>
            </w:r>
          </w:p>
        </w:tc>
      </w:tr>
      <w:tr w:rsidR="000B7DB4" w:rsidRPr="00483452" w:rsidTr="006B1559">
        <w:trPr>
          <w:trHeight w:val="296"/>
        </w:trPr>
        <w:tc>
          <w:tcPr>
            <w:tcW w:w="1440" w:type="dxa"/>
            <w:tcBorders>
              <w:top w:val="single" w:sz="4" w:space="0" w:color="auto"/>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7-19</w:t>
            </w:r>
          </w:p>
        </w:tc>
        <w:tc>
          <w:tcPr>
            <w:tcW w:w="2070" w:type="dxa"/>
            <w:tcBorders>
              <w:top w:val="single" w:sz="4" w:space="0" w:color="auto"/>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Chagrin Rd.</w:t>
            </w:r>
          </w:p>
        </w:tc>
        <w:tc>
          <w:tcPr>
            <w:tcW w:w="1530" w:type="dxa"/>
            <w:tcBorders>
              <w:top w:val="single" w:sz="4" w:space="0" w:color="auto"/>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1846.1</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2-10</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W. Central Ave.</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1688.65</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4-7</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Murphy’s Way</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1521.58</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10-2</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W. Central Ave.</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1483.28</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8-7</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N. Meridian Road</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1339.62</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1-2</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W. Central Ave.</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1337.52</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17-9</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Commerce Ave.</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1308.54</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1-4</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Hypotenuse St.</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1307.19</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9-17</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Commerce Ave.</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1300.5</w:t>
            </w:r>
          </w:p>
        </w:tc>
      </w:tr>
      <w:tr w:rsidR="000B7DB4" w:rsidRPr="00483452" w:rsidTr="009C1BD0">
        <w:trPr>
          <w:trHeight w:val="296"/>
        </w:trPr>
        <w:tc>
          <w:tcPr>
            <w:tcW w:w="144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18-19</w:t>
            </w:r>
          </w:p>
        </w:tc>
        <w:tc>
          <w:tcPr>
            <w:tcW w:w="2070" w:type="dxa"/>
            <w:tcBorders>
              <w:top w:val="nil"/>
              <w:left w:val="nil"/>
              <w:bottom w:val="nil"/>
              <w:right w:val="nil"/>
            </w:tcBorders>
            <w:vAlign w:val="center"/>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Bella Luna Rd.</w:t>
            </w:r>
          </w:p>
        </w:tc>
        <w:tc>
          <w:tcPr>
            <w:tcW w:w="1530" w:type="dxa"/>
            <w:tcBorders>
              <w:top w:val="nil"/>
              <w:left w:val="nil"/>
              <w:bottom w:val="nil"/>
              <w:right w:val="nil"/>
            </w:tcBorders>
            <w:shd w:val="clear" w:color="auto" w:fill="auto"/>
            <w:noWrap/>
            <w:vAlign w:val="center"/>
            <w:hideMark/>
          </w:tcPr>
          <w:p w:rsidR="000B7DB4" w:rsidRPr="009C1BD0" w:rsidRDefault="000B7DB4" w:rsidP="00483452">
            <w:pPr>
              <w:spacing w:after="0" w:line="240" w:lineRule="auto"/>
              <w:jc w:val="right"/>
              <w:rPr>
                <w:rFonts w:ascii="Calibri" w:eastAsia="Times New Roman" w:hAnsi="Calibri" w:cs="Calibri"/>
                <w:color w:val="000000"/>
                <w:sz w:val="20"/>
                <w:szCs w:val="20"/>
              </w:rPr>
            </w:pPr>
            <w:r w:rsidRPr="009C1BD0">
              <w:rPr>
                <w:rFonts w:ascii="Calibri" w:eastAsia="Times New Roman" w:hAnsi="Calibri" w:cs="Calibri"/>
                <w:color w:val="000000"/>
                <w:sz w:val="20"/>
                <w:szCs w:val="20"/>
              </w:rPr>
              <w:t>1296.15</w:t>
            </w:r>
          </w:p>
        </w:tc>
      </w:tr>
    </w:tbl>
    <w:p w:rsidR="003D4C8B" w:rsidRDefault="003D4C8B" w:rsidP="00483452"/>
    <w:p w:rsidR="008154BA" w:rsidRDefault="008154BA" w:rsidP="00483452">
      <w:r>
        <w:t xml:space="preserve">Over-capacity links (&gt; 1.0 V/C ratio) </w:t>
      </w:r>
      <w:r>
        <w:t>occur in the Downtown</w:t>
      </w:r>
      <w:r>
        <w:t xml:space="preserve"> area</w:t>
      </w:r>
      <w:r>
        <w:t>,</w:t>
      </w:r>
      <w:r>
        <w:t xml:space="preserve"> mostly along N. Meridian Road,</w:t>
      </w:r>
      <w:r>
        <w:t xml:space="preserve"> and </w:t>
      </w:r>
      <w:r>
        <w:t xml:space="preserve">on the East Side of </w:t>
      </w:r>
      <w:proofErr w:type="spellStart"/>
      <w:r>
        <w:t>Simpletown</w:t>
      </w:r>
      <w:proofErr w:type="spellEnd"/>
      <w:r>
        <w:t>, on Bella Luna Road (Table 2).</w:t>
      </w:r>
    </w:p>
    <w:tbl>
      <w:tblPr>
        <w:tblW w:w="5040" w:type="dxa"/>
        <w:tblLook w:val="04A0" w:firstRow="1" w:lastRow="0" w:firstColumn="1" w:lastColumn="0" w:noHBand="0" w:noVBand="1"/>
      </w:tblPr>
      <w:tblGrid>
        <w:gridCol w:w="1456"/>
        <w:gridCol w:w="2038"/>
        <w:gridCol w:w="1546"/>
      </w:tblGrid>
      <w:tr w:rsidR="00A83301" w:rsidRPr="00AB7067" w:rsidTr="003D4C8B">
        <w:trPr>
          <w:trHeight w:val="330"/>
        </w:trPr>
        <w:tc>
          <w:tcPr>
            <w:tcW w:w="5040" w:type="dxa"/>
            <w:gridSpan w:val="3"/>
            <w:tcBorders>
              <w:top w:val="nil"/>
              <w:left w:val="nil"/>
            </w:tcBorders>
            <w:vAlign w:val="center"/>
          </w:tcPr>
          <w:p w:rsidR="00A83301" w:rsidRPr="009C1BD0" w:rsidRDefault="009C1BD0" w:rsidP="00AB7067">
            <w:pPr>
              <w:spacing w:after="0" w:line="240" w:lineRule="auto"/>
              <w:rPr>
                <w:rFonts w:eastAsia="Times New Roman" w:cstheme="minorHAnsi"/>
                <w:b/>
                <w:i/>
                <w:color w:val="000000"/>
                <w:sz w:val="20"/>
                <w:szCs w:val="20"/>
              </w:rPr>
            </w:pPr>
            <w:r>
              <w:rPr>
                <w:rFonts w:eastAsia="Times New Roman" w:cstheme="minorHAnsi"/>
                <w:b/>
                <w:i/>
                <w:color w:val="000000"/>
                <w:sz w:val="20"/>
                <w:szCs w:val="20"/>
              </w:rPr>
              <w:t xml:space="preserve">Table </w:t>
            </w:r>
            <w:r w:rsidR="00A83301" w:rsidRPr="009C1BD0">
              <w:rPr>
                <w:rFonts w:eastAsia="Times New Roman" w:cstheme="minorHAnsi"/>
                <w:b/>
                <w:i/>
                <w:color w:val="000000"/>
                <w:sz w:val="20"/>
                <w:szCs w:val="20"/>
              </w:rPr>
              <w:t>2: Links Over Capacity</w:t>
            </w:r>
          </w:p>
        </w:tc>
      </w:tr>
      <w:tr w:rsidR="009C1BD0" w:rsidRPr="00AB7067" w:rsidTr="003D4C8B">
        <w:trPr>
          <w:trHeight w:val="330"/>
        </w:trPr>
        <w:tc>
          <w:tcPr>
            <w:tcW w:w="1440" w:type="dxa"/>
            <w:tcBorders>
              <w:top w:val="nil"/>
              <w:left w:val="nil"/>
              <w:bottom w:val="single" w:sz="4" w:space="0" w:color="auto"/>
              <w:right w:val="nil"/>
            </w:tcBorders>
            <w:shd w:val="clear" w:color="auto" w:fill="auto"/>
            <w:noWrap/>
            <w:vAlign w:val="center"/>
            <w:hideMark/>
          </w:tcPr>
          <w:p w:rsidR="009C1BD0" w:rsidRPr="009C1BD0" w:rsidRDefault="009C1BD0" w:rsidP="009C1BD0">
            <w:pPr>
              <w:spacing w:after="0" w:line="240" w:lineRule="auto"/>
              <w:jc w:val="right"/>
              <w:rPr>
                <w:rFonts w:eastAsia="Times New Roman" w:cstheme="minorHAnsi"/>
                <w:b/>
                <w:color w:val="000000"/>
                <w:sz w:val="20"/>
                <w:szCs w:val="20"/>
              </w:rPr>
            </w:pPr>
            <w:r w:rsidRPr="009C1BD0">
              <w:rPr>
                <w:rFonts w:eastAsia="Times New Roman" w:cstheme="minorHAnsi"/>
                <w:b/>
                <w:color w:val="000000"/>
                <w:sz w:val="20"/>
                <w:szCs w:val="20"/>
              </w:rPr>
              <w:t>Link Number</w:t>
            </w:r>
          </w:p>
        </w:tc>
        <w:tc>
          <w:tcPr>
            <w:tcW w:w="2070" w:type="dxa"/>
            <w:tcBorders>
              <w:top w:val="nil"/>
              <w:left w:val="nil"/>
              <w:bottom w:val="single" w:sz="4" w:space="0" w:color="auto"/>
              <w:right w:val="nil"/>
            </w:tcBorders>
            <w:vAlign w:val="center"/>
          </w:tcPr>
          <w:p w:rsidR="009C1BD0" w:rsidRPr="009C1BD0" w:rsidRDefault="009C1BD0" w:rsidP="009C1BD0">
            <w:pPr>
              <w:spacing w:after="0" w:line="240" w:lineRule="auto"/>
              <w:jc w:val="right"/>
              <w:rPr>
                <w:rFonts w:eastAsia="Times New Roman" w:cstheme="minorHAnsi"/>
                <w:b/>
                <w:color w:val="000000"/>
                <w:sz w:val="20"/>
                <w:szCs w:val="20"/>
              </w:rPr>
            </w:pPr>
            <w:r w:rsidRPr="009C1BD0">
              <w:rPr>
                <w:rFonts w:eastAsia="Times New Roman" w:cstheme="minorHAnsi"/>
                <w:b/>
                <w:color w:val="000000"/>
                <w:sz w:val="20"/>
                <w:szCs w:val="20"/>
              </w:rPr>
              <w:t>Street Name</w:t>
            </w:r>
          </w:p>
        </w:tc>
        <w:tc>
          <w:tcPr>
            <w:tcW w:w="1530" w:type="dxa"/>
            <w:tcBorders>
              <w:top w:val="nil"/>
              <w:left w:val="nil"/>
              <w:bottom w:val="single" w:sz="4" w:space="0" w:color="auto"/>
              <w:right w:val="nil"/>
            </w:tcBorders>
            <w:shd w:val="clear" w:color="auto" w:fill="auto"/>
            <w:noWrap/>
            <w:vAlign w:val="center"/>
            <w:hideMark/>
          </w:tcPr>
          <w:p w:rsidR="009C1BD0" w:rsidRPr="009C1BD0" w:rsidRDefault="009C1BD0" w:rsidP="009C1BD0">
            <w:pPr>
              <w:spacing w:after="0" w:line="240" w:lineRule="auto"/>
              <w:jc w:val="right"/>
              <w:rPr>
                <w:rFonts w:eastAsia="Times New Roman" w:cstheme="minorHAnsi"/>
                <w:b/>
                <w:color w:val="000000"/>
                <w:sz w:val="20"/>
                <w:szCs w:val="20"/>
              </w:rPr>
            </w:pPr>
            <w:r w:rsidRPr="009C1BD0">
              <w:rPr>
                <w:rFonts w:eastAsia="Times New Roman" w:cstheme="minorHAnsi"/>
                <w:b/>
                <w:color w:val="000000"/>
                <w:sz w:val="20"/>
                <w:szCs w:val="20"/>
              </w:rPr>
              <w:t>V/C ratio</w:t>
            </w:r>
          </w:p>
        </w:tc>
      </w:tr>
      <w:tr w:rsidR="009C1BD0" w:rsidRPr="00AB7067" w:rsidTr="003D4C8B">
        <w:trPr>
          <w:trHeight w:hRule="exact" w:val="288"/>
        </w:trPr>
        <w:tc>
          <w:tcPr>
            <w:tcW w:w="1440" w:type="dxa"/>
            <w:tcBorders>
              <w:top w:val="single" w:sz="4" w:space="0" w:color="auto"/>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8-7</w:t>
            </w:r>
          </w:p>
        </w:tc>
        <w:tc>
          <w:tcPr>
            <w:tcW w:w="2070" w:type="dxa"/>
            <w:tcBorders>
              <w:top w:val="single" w:sz="4" w:space="0" w:color="auto"/>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N. Meridian Rd.</w:t>
            </w:r>
          </w:p>
        </w:tc>
        <w:tc>
          <w:tcPr>
            <w:tcW w:w="1530" w:type="dxa"/>
            <w:tcBorders>
              <w:top w:val="single" w:sz="4" w:space="0" w:color="auto"/>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1.48846</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1-2</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W. Central Ave</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1.48613</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18-19</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Bella Luna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1.44017</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7-8</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N. Meridian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1.39669</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9-8</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N. Meridian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1.35368</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8-9</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N. Meridian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1.33233</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2-1</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 xml:space="preserve">W. Central Ave. </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1.32143</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19-18</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 xml:space="preserve">Bella Luna Rd. </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1.19486</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14-15</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Bella Luna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1.16738</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15-18</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Bella Luna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1.11849</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17-16</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Market St.</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1.07001</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14-13</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Wooden Palate Ave.</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1.06166</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9-5</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Rush St.</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1.05816</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7-19</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Chagrin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1.02561</w:t>
            </w:r>
          </w:p>
        </w:tc>
      </w:tr>
      <w:tr w:rsidR="009C1BD0" w:rsidRPr="00AB7067" w:rsidTr="003D4C8B">
        <w:trPr>
          <w:trHeight w:hRule="exact" w:val="288"/>
        </w:trPr>
        <w:tc>
          <w:tcPr>
            <w:tcW w:w="144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9-10</w:t>
            </w:r>
          </w:p>
        </w:tc>
        <w:tc>
          <w:tcPr>
            <w:tcW w:w="2070" w:type="dxa"/>
            <w:tcBorders>
              <w:top w:val="nil"/>
              <w:left w:val="nil"/>
              <w:bottom w:val="nil"/>
              <w:right w:val="nil"/>
            </w:tcBorders>
            <w:tcMar>
              <w:left w:w="0" w:type="dxa"/>
              <w:right w:w="0" w:type="dxa"/>
            </w:tcMar>
            <w:vAlign w:val="center"/>
          </w:tcPr>
          <w:p w:rsidR="009C1BD0" w:rsidRPr="00D858BA" w:rsidRDefault="009C1BD0" w:rsidP="00AB7067">
            <w:pPr>
              <w:spacing w:after="0" w:line="240" w:lineRule="auto"/>
              <w:jc w:val="right"/>
              <w:rPr>
                <w:rFonts w:eastAsia="Times New Roman" w:cstheme="minorHAnsi"/>
                <w:color w:val="000000"/>
                <w:sz w:val="20"/>
                <w:szCs w:val="20"/>
              </w:rPr>
            </w:pPr>
            <w:r w:rsidRPr="00D858BA">
              <w:rPr>
                <w:rFonts w:eastAsia="Times New Roman" w:cstheme="minorHAnsi"/>
                <w:color w:val="000000"/>
                <w:sz w:val="20"/>
                <w:szCs w:val="20"/>
              </w:rPr>
              <w:t>N. Meridian Rd.</w:t>
            </w:r>
          </w:p>
        </w:tc>
        <w:tc>
          <w:tcPr>
            <w:tcW w:w="1530" w:type="dxa"/>
            <w:tcBorders>
              <w:top w:val="nil"/>
              <w:left w:val="nil"/>
              <w:bottom w:val="nil"/>
              <w:right w:val="nil"/>
            </w:tcBorders>
            <w:shd w:val="clear" w:color="auto" w:fill="auto"/>
            <w:noWrap/>
            <w:tcMar>
              <w:left w:w="0" w:type="dxa"/>
              <w:right w:w="0" w:type="dxa"/>
            </w:tcMar>
            <w:vAlign w:val="center"/>
            <w:hideMark/>
          </w:tcPr>
          <w:p w:rsidR="009C1BD0" w:rsidRPr="00D858BA" w:rsidRDefault="009C1BD0" w:rsidP="00AB7067">
            <w:pPr>
              <w:spacing w:after="0" w:line="240" w:lineRule="auto"/>
              <w:jc w:val="right"/>
              <w:rPr>
                <w:rFonts w:eastAsia="Times New Roman" w:cstheme="minorHAnsi"/>
                <w:sz w:val="20"/>
                <w:szCs w:val="20"/>
              </w:rPr>
            </w:pPr>
            <w:r w:rsidRPr="00D858BA">
              <w:rPr>
                <w:rFonts w:eastAsia="Times New Roman" w:cstheme="minorHAnsi"/>
                <w:sz w:val="20"/>
                <w:szCs w:val="20"/>
              </w:rPr>
              <w:t>1.02406</w:t>
            </w:r>
          </w:p>
        </w:tc>
      </w:tr>
    </w:tbl>
    <w:p w:rsidR="00E56267" w:rsidRPr="00E56267" w:rsidRDefault="00E56267" w:rsidP="00E56267">
      <w:pPr>
        <w:pStyle w:val="ListParagraph"/>
        <w:numPr>
          <w:ilvl w:val="0"/>
          <w:numId w:val="1"/>
        </w:numPr>
        <w:rPr>
          <w:b/>
        </w:rPr>
      </w:pPr>
      <w:r>
        <w:rPr>
          <w:b/>
        </w:rPr>
        <w:lastRenderedPageBreak/>
        <w:t xml:space="preserve">Characterize Network </w:t>
      </w:r>
      <w:proofErr w:type="spellStart"/>
      <w:r>
        <w:rPr>
          <w:b/>
        </w:rPr>
        <w:t>Perfomance</w:t>
      </w:r>
      <w:proofErr w:type="spellEnd"/>
    </w:p>
    <w:p w:rsidR="009D467E" w:rsidRDefault="0091488E" w:rsidP="00483452">
      <w:r>
        <w:t>In order to eliminate congestion effects, s</w:t>
      </w:r>
      <w:r w:rsidR="005D7A56">
        <w:t xml:space="preserve">etting </w:t>
      </w:r>
      <w:r w:rsidR="005D7A56">
        <w:rPr>
          <w:rFonts w:cstheme="minorHAnsi"/>
        </w:rPr>
        <w:t>α</w:t>
      </w:r>
      <w:r w:rsidR="005D7A56">
        <w:t xml:space="preserve"> = 0 within the BPR function produced </w:t>
      </w:r>
      <w:proofErr w:type="spellStart"/>
      <w:r w:rsidR="005D7A56" w:rsidRPr="005D7A56">
        <w:rPr>
          <w:i/>
        </w:rPr>
        <w:t>t</w:t>
      </w:r>
      <w:r w:rsidR="005D7A56" w:rsidRPr="005D7A56">
        <w:rPr>
          <w:vertAlign w:val="subscript"/>
        </w:rPr>
        <w:t>congested</w:t>
      </w:r>
      <w:proofErr w:type="spellEnd"/>
      <w:r w:rsidR="005D7A56">
        <w:t xml:space="preserve"> = </w:t>
      </w:r>
      <w:proofErr w:type="spellStart"/>
      <w:r w:rsidR="005D7A56" w:rsidRPr="005D7A56">
        <w:rPr>
          <w:i/>
        </w:rPr>
        <w:t>t</w:t>
      </w:r>
      <w:r w:rsidR="005D7A56" w:rsidRPr="005D7A56">
        <w:rPr>
          <w:vertAlign w:val="subscript"/>
        </w:rPr>
        <w:t>freeflow</w:t>
      </w:r>
      <w:proofErr w:type="spellEnd"/>
      <w:r w:rsidR="005D7A56">
        <w:t>.</w:t>
      </w:r>
      <w:r w:rsidR="00430288">
        <w:t xml:space="preserve"> Performing the same calculation using the TrafAsmtUE.exe file.</w:t>
      </w:r>
      <w:r w:rsidR="002A723F">
        <w:t xml:space="preserve"> </w:t>
      </w:r>
      <w:r w:rsidR="005D7A56">
        <w:t xml:space="preserve"> </w:t>
      </w:r>
      <w:r w:rsidR="009D467E">
        <w:t>With the Baseline and</w:t>
      </w:r>
      <w:r w:rsidR="00873977">
        <w:t xml:space="preserve"> </w:t>
      </w:r>
      <w:proofErr w:type="spellStart"/>
      <w:r w:rsidR="009D467E">
        <w:t>Freeflow</w:t>
      </w:r>
      <w:proofErr w:type="spellEnd"/>
      <w:r w:rsidR="009D467E">
        <w:t xml:space="preserve"> travel times (Table 3), t</w:t>
      </w:r>
      <w:r w:rsidR="009D467E">
        <w:t>he comp</w:t>
      </w:r>
      <w:r w:rsidR="00873977">
        <w:t>uted Congestion Index is 1.287.  This can be interpreted to mean that under congested conditions, t</w:t>
      </w:r>
      <w:r w:rsidR="009D467E">
        <w:t xml:space="preserve">otal </w:t>
      </w:r>
      <w:r w:rsidR="00873977">
        <w:t>t</w:t>
      </w:r>
      <w:r w:rsidR="009D467E">
        <w:t>ravel time in vehicle minutes is increased by a factor of 1.287.</w:t>
      </w:r>
    </w:p>
    <w:p w:rsidR="00CB15D8" w:rsidRDefault="00CB15D8" w:rsidP="00483452"/>
    <w:tbl>
      <w:tblPr>
        <w:tblW w:w="2798" w:type="dxa"/>
        <w:tblLook w:val="04A0" w:firstRow="1" w:lastRow="0" w:firstColumn="1" w:lastColumn="0" w:noHBand="0" w:noVBand="1"/>
      </w:tblPr>
      <w:tblGrid>
        <w:gridCol w:w="946"/>
        <w:gridCol w:w="1852"/>
      </w:tblGrid>
      <w:tr w:rsidR="009D467E" w:rsidRPr="003D368A" w:rsidTr="006B1559">
        <w:trPr>
          <w:trHeight w:val="264"/>
        </w:trPr>
        <w:tc>
          <w:tcPr>
            <w:tcW w:w="2798" w:type="dxa"/>
            <w:gridSpan w:val="2"/>
            <w:tcBorders>
              <w:top w:val="nil"/>
              <w:left w:val="nil"/>
              <w:right w:val="nil"/>
            </w:tcBorders>
            <w:shd w:val="clear" w:color="auto" w:fill="auto"/>
            <w:noWrap/>
            <w:vAlign w:val="center"/>
          </w:tcPr>
          <w:p w:rsidR="009D467E" w:rsidRPr="009D467E" w:rsidRDefault="009D467E" w:rsidP="009D467E">
            <w:pPr>
              <w:spacing w:after="0" w:line="240" w:lineRule="auto"/>
              <w:rPr>
                <w:rFonts w:ascii="Calibri" w:eastAsia="Times New Roman" w:hAnsi="Calibri" w:cs="Calibri"/>
                <w:b/>
                <w:i/>
                <w:color w:val="000000"/>
                <w:sz w:val="20"/>
                <w:szCs w:val="20"/>
              </w:rPr>
            </w:pPr>
            <w:r w:rsidRPr="009D467E">
              <w:rPr>
                <w:rFonts w:ascii="Calibri" w:eastAsia="Times New Roman" w:hAnsi="Calibri" w:cs="Calibri"/>
                <w:b/>
                <w:i/>
                <w:color w:val="000000"/>
                <w:sz w:val="20"/>
                <w:szCs w:val="20"/>
              </w:rPr>
              <w:t>Table 3: Total Travel Time</w:t>
            </w:r>
          </w:p>
        </w:tc>
      </w:tr>
      <w:tr w:rsidR="00D858BA" w:rsidRPr="003D368A" w:rsidTr="006B1559">
        <w:trPr>
          <w:trHeight w:val="264"/>
        </w:trPr>
        <w:tc>
          <w:tcPr>
            <w:tcW w:w="946" w:type="dxa"/>
            <w:tcBorders>
              <w:top w:val="nil"/>
              <w:left w:val="nil"/>
              <w:bottom w:val="single" w:sz="4" w:space="0" w:color="auto"/>
              <w:right w:val="nil"/>
            </w:tcBorders>
            <w:shd w:val="clear" w:color="auto" w:fill="auto"/>
            <w:noWrap/>
            <w:vAlign w:val="center"/>
            <w:hideMark/>
          </w:tcPr>
          <w:p w:rsidR="00D858BA" w:rsidRPr="00D858BA" w:rsidRDefault="00D858BA" w:rsidP="00D858BA">
            <w:pPr>
              <w:spacing w:after="0" w:line="240" w:lineRule="auto"/>
              <w:rPr>
                <w:rFonts w:ascii="Calibri" w:eastAsia="Times New Roman" w:hAnsi="Calibri" w:cs="Calibri"/>
                <w:b/>
                <w:color w:val="000000"/>
                <w:sz w:val="20"/>
                <w:szCs w:val="20"/>
              </w:rPr>
            </w:pPr>
            <w:r>
              <w:rPr>
                <w:rFonts w:ascii="Calibri" w:eastAsia="Times New Roman" w:hAnsi="Calibri" w:cs="Calibri"/>
                <w:b/>
                <w:color w:val="000000"/>
                <w:sz w:val="20"/>
                <w:szCs w:val="20"/>
              </w:rPr>
              <w:t>Scenario</w:t>
            </w:r>
          </w:p>
        </w:tc>
        <w:tc>
          <w:tcPr>
            <w:tcW w:w="1852" w:type="dxa"/>
            <w:tcBorders>
              <w:top w:val="nil"/>
              <w:left w:val="nil"/>
              <w:bottom w:val="single" w:sz="4" w:space="0" w:color="auto"/>
              <w:right w:val="nil"/>
            </w:tcBorders>
            <w:shd w:val="clear" w:color="auto" w:fill="auto"/>
            <w:noWrap/>
            <w:vAlign w:val="bottom"/>
            <w:hideMark/>
          </w:tcPr>
          <w:p w:rsidR="00D858BA" w:rsidRPr="00D858BA" w:rsidRDefault="00CB15D8" w:rsidP="00CB15D8">
            <w:pPr>
              <w:spacing w:after="0" w:line="240" w:lineRule="auto"/>
              <w:jc w:val="right"/>
              <w:rPr>
                <w:rFonts w:ascii="Calibri" w:eastAsia="Times New Roman" w:hAnsi="Calibri" w:cs="Calibri"/>
                <w:b/>
                <w:color w:val="000000"/>
                <w:sz w:val="20"/>
                <w:szCs w:val="20"/>
              </w:rPr>
            </w:pPr>
            <w:r>
              <w:rPr>
                <w:rFonts w:ascii="Calibri" w:eastAsia="Times New Roman" w:hAnsi="Calibri" w:cs="Calibri"/>
                <w:b/>
                <w:color w:val="000000"/>
                <w:sz w:val="20"/>
                <w:szCs w:val="20"/>
              </w:rPr>
              <w:t>Total V</w:t>
            </w:r>
            <w:r w:rsidR="00D858BA" w:rsidRPr="00D858BA">
              <w:rPr>
                <w:rFonts w:ascii="Calibri" w:eastAsia="Times New Roman" w:hAnsi="Calibri" w:cs="Calibri"/>
                <w:b/>
                <w:color w:val="000000"/>
                <w:sz w:val="20"/>
                <w:szCs w:val="20"/>
              </w:rPr>
              <w:t>ehicle min</w:t>
            </w:r>
          </w:p>
        </w:tc>
      </w:tr>
      <w:tr w:rsidR="00D858BA" w:rsidRPr="003D368A" w:rsidTr="006B1559">
        <w:trPr>
          <w:trHeight w:val="264"/>
        </w:trPr>
        <w:tc>
          <w:tcPr>
            <w:tcW w:w="946" w:type="dxa"/>
            <w:tcBorders>
              <w:top w:val="single" w:sz="4" w:space="0" w:color="auto"/>
              <w:left w:val="nil"/>
              <w:bottom w:val="nil"/>
              <w:right w:val="nil"/>
            </w:tcBorders>
            <w:shd w:val="clear" w:color="auto" w:fill="auto"/>
            <w:noWrap/>
            <w:vAlign w:val="bottom"/>
            <w:hideMark/>
          </w:tcPr>
          <w:p w:rsidR="00D858BA" w:rsidRPr="00D858BA" w:rsidRDefault="00D858BA" w:rsidP="00D858BA">
            <w:pPr>
              <w:spacing w:after="0" w:line="240" w:lineRule="auto"/>
              <w:rPr>
                <w:rFonts w:ascii="Calibri" w:eastAsia="Times New Roman" w:hAnsi="Calibri" w:cs="Calibri"/>
                <w:color w:val="000000"/>
                <w:sz w:val="20"/>
                <w:szCs w:val="20"/>
              </w:rPr>
            </w:pPr>
            <w:r w:rsidRPr="00D858BA">
              <w:rPr>
                <w:rFonts w:ascii="Calibri" w:eastAsia="Times New Roman" w:hAnsi="Calibri" w:cs="Calibri"/>
                <w:color w:val="000000"/>
                <w:sz w:val="20"/>
                <w:szCs w:val="20"/>
              </w:rPr>
              <w:t>Baseline</w:t>
            </w:r>
          </w:p>
        </w:tc>
        <w:tc>
          <w:tcPr>
            <w:tcW w:w="1852" w:type="dxa"/>
            <w:tcBorders>
              <w:top w:val="single" w:sz="4" w:space="0" w:color="auto"/>
              <w:left w:val="nil"/>
              <w:bottom w:val="nil"/>
              <w:right w:val="nil"/>
            </w:tcBorders>
            <w:shd w:val="clear" w:color="auto" w:fill="auto"/>
            <w:noWrap/>
            <w:vAlign w:val="bottom"/>
            <w:hideMark/>
          </w:tcPr>
          <w:p w:rsidR="00D858BA" w:rsidRPr="00D858BA" w:rsidRDefault="00D858BA" w:rsidP="00D858B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42840.9</w:t>
            </w:r>
          </w:p>
        </w:tc>
      </w:tr>
      <w:tr w:rsidR="00D858BA" w:rsidRPr="003D368A" w:rsidTr="00CB15D8">
        <w:trPr>
          <w:trHeight w:val="264"/>
        </w:trPr>
        <w:tc>
          <w:tcPr>
            <w:tcW w:w="946" w:type="dxa"/>
            <w:tcBorders>
              <w:top w:val="nil"/>
              <w:left w:val="nil"/>
              <w:bottom w:val="nil"/>
              <w:right w:val="nil"/>
            </w:tcBorders>
            <w:shd w:val="clear" w:color="auto" w:fill="auto"/>
            <w:noWrap/>
            <w:vAlign w:val="bottom"/>
            <w:hideMark/>
          </w:tcPr>
          <w:p w:rsidR="00D858BA" w:rsidRPr="00D858BA" w:rsidRDefault="00D858BA" w:rsidP="00D858BA">
            <w:pPr>
              <w:spacing w:after="0" w:line="240" w:lineRule="auto"/>
              <w:rPr>
                <w:rFonts w:ascii="Calibri" w:eastAsia="Times New Roman" w:hAnsi="Calibri" w:cs="Calibri"/>
                <w:color w:val="000000"/>
                <w:sz w:val="20"/>
                <w:szCs w:val="20"/>
              </w:rPr>
            </w:pPr>
            <w:proofErr w:type="spellStart"/>
            <w:r w:rsidRPr="00D858BA">
              <w:rPr>
                <w:rFonts w:ascii="Calibri" w:eastAsia="Times New Roman" w:hAnsi="Calibri" w:cs="Calibri"/>
                <w:color w:val="000000"/>
                <w:sz w:val="20"/>
                <w:szCs w:val="20"/>
              </w:rPr>
              <w:t>Freeflow</w:t>
            </w:r>
            <w:proofErr w:type="spellEnd"/>
          </w:p>
        </w:tc>
        <w:tc>
          <w:tcPr>
            <w:tcW w:w="1852" w:type="dxa"/>
            <w:tcBorders>
              <w:top w:val="nil"/>
              <w:left w:val="nil"/>
              <w:bottom w:val="nil"/>
              <w:right w:val="nil"/>
            </w:tcBorders>
            <w:shd w:val="clear" w:color="auto" w:fill="auto"/>
            <w:noWrap/>
            <w:vAlign w:val="bottom"/>
            <w:hideMark/>
          </w:tcPr>
          <w:p w:rsidR="00D858BA" w:rsidRPr="00D858BA" w:rsidRDefault="00D858BA" w:rsidP="00D858B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33294.7</w:t>
            </w:r>
          </w:p>
        </w:tc>
      </w:tr>
    </w:tbl>
    <w:p w:rsidR="003D368A" w:rsidRDefault="003D368A" w:rsidP="00483452"/>
    <w:p w:rsidR="00873977" w:rsidRDefault="00873977" w:rsidP="00483452">
      <w:r>
        <w:t xml:space="preserve">Under </w:t>
      </w:r>
      <w:proofErr w:type="spellStart"/>
      <w:r>
        <w:t>freeflow</w:t>
      </w:r>
      <w:proofErr w:type="spellEnd"/>
      <w:r>
        <w:t xml:space="preserve"> conditions, the most important links to regional vehicular flow could be determined by the number of vehicles which utilized them as a part of shortest-path routing.  Table 4 shows the top lin</w:t>
      </w:r>
      <w:r w:rsidR="00406C22">
        <w:t>k</w:t>
      </w:r>
      <w:r>
        <w:t>s in order of importance.</w:t>
      </w:r>
    </w:p>
    <w:p w:rsidR="00406C22" w:rsidRDefault="00406C22" w:rsidP="00406C22">
      <w:r>
        <w:t xml:space="preserve">Generally, the most-travelled links are in the denser “downtown area,” with the centrally-located N-S and E-W axial streets (N. Meridian Road, Commerce Ave, Central Ave) seeing the most traffic. Of the ring roads, Bella Luna Road carries the greatest volume of traffic, 2-4 times the amount of Circle Freeway North, Circle Freeway South, and Blast Furnace Road.  As the model is configured, the central location of the axial roads makes them more attractive for a shortest-path algorithm, whereas the higher-capacity ring roads are hardly utilized at all. </w:t>
      </w:r>
    </w:p>
    <w:p w:rsidR="00CB15D8" w:rsidRDefault="00CB15D8" w:rsidP="00406C22"/>
    <w:tbl>
      <w:tblPr>
        <w:tblW w:w="3780" w:type="dxa"/>
        <w:tblLook w:val="04A0" w:firstRow="1" w:lastRow="0" w:firstColumn="1" w:lastColumn="0" w:noHBand="0" w:noVBand="1"/>
      </w:tblPr>
      <w:tblGrid>
        <w:gridCol w:w="810"/>
        <w:gridCol w:w="1800"/>
        <w:gridCol w:w="1170"/>
      </w:tblGrid>
      <w:tr w:rsidR="00873977" w:rsidRPr="003D368A" w:rsidTr="006B1559">
        <w:trPr>
          <w:trHeight w:val="260"/>
        </w:trPr>
        <w:tc>
          <w:tcPr>
            <w:tcW w:w="3780" w:type="dxa"/>
            <w:gridSpan w:val="3"/>
            <w:tcBorders>
              <w:top w:val="nil"/>
              <w:left w:val="nil"/>
              <w:right w:val="nil"/>
            </w:tcBorders>
            <w:shd w:val="clear" w:color="auto" w:fill="auto"/>
            <w:noWrap/>
            <w:vAlign w:val="center"/>
          </w:tcPr>
          <w:p w:rsidR="00873977" w:rsidRPr="00873977" w:rsidRDefault="00873977" w:rsidP="00873977">
            <w:pPr>
              <w:spacing w:after="0" w:line="240" w:lineRule="auto"/>
              <w:rPr>
                <w:rFonts w:ascii="Calibri" w:eastAsia="Times New Roman" w:hAnsi="Calibri" w:cs="Calibri"/>
                <w:b/>
                <w:i/>
                <w:color w:val="000000"/>
                <w:sz w:val="20"/>
                <w:szCs w:val="20"/>
              </w:rPr>
            </w:pPr>
            <w:r w:rsidRPr="00873977">
              <w:rPr>
                <w:rFonts w:ascii="Calibri" w:eastAsia="Times New Roman" w:hAnsi="Calibri" w:cs="Calibri"/>
                <w:b/>
                <w:i/>
                <w:color w:val="000000"/>
                <w:sz w:val="20"/>
                <w:szCs w:val="20"/>
              </w:rPr>
              <w:t>Table 4: Critical Regional Links</w:t>
            </w:r>
          </w:p>
        </w:tc>
      </w:tr>
      <w:tr w:rsidR="00B37FAE" w:rsidRPr="003D368A" w:rsidTr="006B1559">
        <w:trPr>
          <w:trHeight w:val="260"/>
        </w:trPr>
        <w:tc>
          <w:tcPr>
            <w:tcW w:w="810" w:type="dxa"/>
            <w:tcBorders>
              <w:top w:val="nil"/>
              <w:left w:val="nil"/>
              <w:bottom w:val="single" w:sz="4" w:space="0" w:color="auto"/>
              <w:right w:val="nil"/>
            </w:tcBorders>
            <w:shd w:val="clear" w:color="auto" w:fill="auto"/>
            <w:noWrap/>
            <w:vAlign w:val="center"/>
            <w:hideMark/>
          </w:tcPr>
          <w:p w:rsidR="00B37FAE" w:rsidRPr="00D858BA" w:rsidRDefault="00D858BA" w:rsidP="009C1BD0">
            <w:pPr>
              <w:spacing w:after="0" w:line="240" w:lineRule="auto"/>
              <w:jc w:val="right"/>
              <w:rPr>
                <w:rFonts w:ascii="Calibri" w:eastAsia="Times New Roman" w:hAnsi="Calibri" w:cs="Calibri"/>
                <w:b/>
                <w:color w:val="000000"/>
                <w:sz w:val="20"/>
                <w:szCs w:val="20"/>
              </w:rPr>
            </w:pPr>
            <w:r>
              <w:rPr>
                <w:rFonts w:ascii="Calibri" w:eastAsia="Times New Roman" w:hAnsi="Calibri" w:cs="Calibri"/>
                <w:b/>
                <w:color w:val="000000"/>
                <w:sz w:val="20"/>
                <w:szCs w:val="20"/>
              </w:rPr>
              <w:t>Link</w:t>
            </w:r>
          </w:p>
        </w:tc>
        <w:tc>
          <w:tcPr>
            <w:tcW w:w="1800" w:type="dxa"/>
            <w:tcBorders>
              <w:top w:val="nil"/>
              <w:left w:val="nil"/>
              <w:bottom w:val="single" w:sz="4" w:space="0" w:color="auto"/>
              <w:right w:val="nil"/>
            </w:tcBorders>
            <w:vAlign w:val="center"/>
          </w:tcPr>
          <w:p w:rsidR="00B37FAE" w:rsidRPr="00D858BA" w:rsidRDefault="00B37FAE" w:rsidP="009C1BD0">
            <w:pPr>
              <w:spacing w:after="0" w:line="240" w:lineRule="auto"/>
              <w:jc w:val="right"/>
              <w:rPr>
                <w:rFonts w:ascii="Calibri" w:eastAsia="Times New Roman" w:hAnsi="Calibri" w:cs="Calibri"/>
                <w:b/>
                <w:color w:val="000000"/>
                <w:sz w:val="20"/>
                <w:szCs w:val="20"/>
              </w:rPr>
            </w:pPr>
            <w:r w:rsidRPr="00D858BA">
              <w:rPr>
                <w:rFonts w:ascii="Calibri" w:eastAsia="Times New Roman" w:hAnsi="Calibri" w:cs="Calibri"/>
                <w:b/>
                <w:color w:val="000000"/>
                <w:sz w:val="20"/>
                <w:szCs w:val="20"/>
              </w:rPr>
              <w:t>Street Name</w:t>
            </w:r>
          </w:p>
        </w:tc>
        <w:tc>
          <w:tcPr>
            <w:tcW w:w="1170" w:type="dxa"/>
            <w:tcBorders>
              <w:top w:val="nil"/>
              <w:left w:val="nil"/>
              <w:bottom w:val="single" w:sz="4" w:space="0" w:color="auto"/>
              <w:right w:val="nil"/>
            </w:tcBorders>
            <w:shd w:val="clear" w:color="auto" w:fill="auto"/>
            <w:noWrap/>
            <w:vAlign w:val="center"/>
            <w:hideMark/>
          </w:tcPr>
          <w:p w:rsidR="00B37FAE" w:rsidRPr="00D858BA" w:rsidRDefault="00B37FAE" w:rsidP="009C1BD0">
            <w:pPr>
              <w:spacing w:after="0" w:line="240" w:lineRule="auto"/>
              <w:jc w:val="right"/>
              <w:rPr>
                <w:rFonts w:ascii="Calibri" w:eastAsia="Times New Roman" w:hAnsi="Calibri" w:cs="Calibri"/>
                <w:b/>
                <w:color w:val="000000"/>
                <w:sz w:val="20"/>
                <w:szCs w:val="20"/>
              </w:rPr>
            </w:pPr>
            <w:r w:rsidRPr="00D858BA">
              <w:rPr>
                <w:rFonts w:ascii="Calibri" w:eastAsia="Times New Roman" w:hAnsi="Calibri" w:cs="Calibri"/>
                <w:b/>
                <w:color w:val="000000"/>
                <w:sz w:val="20"/>
                <w:szCs w:val="20"/>
              </w:rPr>
              <w:t>Flow (</w:t>
            </w:r>
            <w:proofErr w:type="spellStart"/>
            <w:r w:rsidRPr="00D858BA">
              <w:rPr>
                <w:rFonts w:ascii="Calibri" w:eastAsia="Times New Roman" w:hAnsi="Calibri" w:cs="Calibri"/>
                <w:b/>
                <w:color w:val="000000"/>
                <w:sz w:val="20"/>
                <w:szCs w:val="20"/>
              </w:rPr>
              <w:t>vph</w:t>
            </w:r>
            <w:proofErr w:type="spellEnd"/>
            <w:r w:rsidRPr="00D858BA">
              <w:rPr>
                <w:rFonts w:ascii="Calibri" w:eastAsia="Times New Roman" w:hAnsi="Calibri" w:cs="Calibri"/>
                <w:b/>
                <w:color w:val="000000"/>
                <w:sz w:val="20"/>
                <w:szCs w:val="20"/>
              </w:rPr>
              <w:t>)</w:t>
            </w:r>
          </w:p>
        </w:tc>
      </w:tr>
      <w:tr w:rsidR="00B37FAE" w:rsidRPr="003D368A" w:rsidTr="006B1559">
        <w:trPr>
          <w:trHeight w:val="260"/>
        </w:trPr>
        <w:tc>
          <w:tcPr>
            <w:tcW w:w="810" w:type="dxa"/>
            <w:tcBorders>
              <w:top w:val="single" w:sz="4" w:space="0" w:color="auto"/>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7-8</w:t>
            </w:r>
          </w:p>
        </w:tc>
        <w:tc>
          <w:tcPr>
            <w:tcW w:w="1800" w:type="dxa"/>
            <w:tcBorders>
              <w:top w:val="single" w:sz="4" w:space="0" w:color="auto"/>
              <w:left w:val="nil"/>
              <w:bottom w:val="nil"/>
              <w:right w:val="nil"/>
            </w:tcBorders>
            <w:vAlign w:val="center"/>
          </w:tcPr>
          <w:p w:rsidR="00B37FAE" w:rsidRPr="00D858BA" w:rsidRDefault="00B37FAE" w:rsidP="00687F68">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N. Meridian  Rd</w:t>
            </w:r>
            <w:r w:rsidR="00687F68" w:rsidRPr="00D858BA">
              <w:rPr>
                <w:rFonts w:ascii="Calibri" w:eastAsia="Times New Roman" w:hAnsi="Calibri" w:cs="Calibri"/>
                <w:color w:val="000000"/>
                <w:sz w:val="20"/>
                <w:szCs w:val="20"/>
              </w:rPr>
              <w:t>.</w:t>
            </w:r>
          </w:p>
        </w:tc>
        <w:tc>
          <w:tcPr>
            <w:tcW w:w="1170" w:type="dxa"/>
            <w:tcBorders>
              <w:top w:val="single" w:sz="4" w:space="0" w:color="auto"/>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7</w:t>
            </w:r>
          </w:p>
        </w:tc>
      </w:tr>
      <w:tr w:rsidR="00B37FAE" w:rsidRPr="003D368A" w:rsidTr="00CB15D8">
        <w:trPr>
          <w:trHeight w:val="260"/>
        </w:trPr>
        <w:tc>
          <w:tcPr>
            <w:tcW w:w="81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9-17</w:t>
            </w:r>
          </w:p>
        </w:tc>
        <w:tc>
          <w:tcPr>
            <w:tcW w:w="1800" w:type="dxa"/>
            <w:tcBorders>
              <w:top w:val="nil"/>
              <w:left w:val="nil"/>
              <w:bottom w:val="nil"/>
              <w:right w:val="nil"/>
            </w:tcBorders>
            <w:vAlign w:val="center"/>
          </w:tcPr>
          <w:p w:rsidR="00B37FAE" w:rsidRPr="00D858BA" w:rsidRDefault="00687F68"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Commerce Ave.</w:t>
            </w:r>
          </w:p>
        </w:tc>
        <w:tc>
          <w:tcPr>
            <w:tcW w:w="117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6</w:t>
            </w:r>
          </w:p>
        </w:tc>
      </w:tr>
      <w:tr w:rsidR="00B37FAE" w:rsidRPr="003D368A" w:rsidTr="00CB15D8">
        <w:trPr>
          <w:trHeight w:val="260"/>
        </w:trPr>
        <w:tc>
          <w:tcPr>
            <w:tcW w:w="81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17-9</w:t>
            </w:r>
          </w:p>
        </w:tc>
        <w:tc>
          <w:tcPr>
            <w:tcW w:w="1800" w:type="dxa"/>
            <w:tcBorders>
              <w:top w:val="nil"/>
              <w:left w:val="nil"/>
              <w:bottom w:val="nil"/>
              <w:right w:val="nil"/>
            </w:tcBorders>
            <w:vAlign w:val="center"/>
          </w:tcPr>
          <w:p w:rsidR="00B37FAE" w:rsidRPr="00D858BA" w:rsidRDefault="00687F68"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Commerce Ave.</w:t>
            </w:r>
          </w:p>
        </w:tc>
        <w:tc>
          <w:tcPr>
            <w:tcW w:w="117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6</w:t>
            </w:r>
          </w:p>
        </w:tc>
      </w:tr>
      <w:tr w:rsidR="00B37FAE" w:rsidRPr="003D368A" w:rsidTr="00CB15D8">
        <w:trPr>
          <w:trHeight w:val="260"/>
        </w:trPr>
        <w:tc>
          <w:tcPr>
            <w:tcW w:w="81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2-10</w:t>
            </w:r>
          </w:p>
        </w:tc>
        <w:tc>
          <w:tcPr>
            <w:tcW w:w="1800" w:type="dxa"/>
            <w:tcBorders>
              <w:top w:val="nil"/>
              <w:left w:val="nil"/>
              <w:bottom w:val="nil"/>
              <w:right w:val="nil"/>
            </w:tcBorders>
            <w:vAlign w:val="center"/>
          </w:tcPr>
          <w:p w:rsidR="00B37FAE" w:rsidRPr="00D858BA" w:rsidRDefault="00687F68"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W. Central Ave.</w:t>
            </w:r>
          </w:p>
        </w:tc>
        <w:tc>
          <w:tcPr>
            <w:tcW w:w="117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5</w:t>
            </w:r>
          </w:p>
        </w:tc>
      </w:tr>
      <w:tr w:rsidR="00B37FAE" w:rsidRPr="003D368A" w:rsidTr="00CB15D8">
        <w:trPr>
          <w:trHeight w:val="260"/>
        </w:trPr>
        <w:tc>
          <w:tcPr>
            <w:tcW w:w="81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6-4</w:t>
            </w:r>
          </w:p>
        </w:tc>
        <w:tc>
          <w:tcPr>
            <w:tcW w:w="1800" w:type="dxa"/>
            <w:tcBorders>
              <w:top w:val="nil"/>
              <w:left w:val="nil"/>
              <w:bottom w:val="nil"/>
              <w:right w:val="nil"/>
            </w:tcBorders>
            <w:vAlign w:val="center"/>
          </w:tcPr>
          <w:p w:rsidR="00B37FAE" w:rsidRPr="00D858BA" w:rsidRDefault="00687F68"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Race St.</w:t>
            </w:r>
          </w:p>
        </w:tc>
        <w:tc>
          <w:tcPr>
            <w:tcW w:w="117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5</w:t>
            </w:r>
          </w:p>
        </w:tc>
      </w:tr>
      <w:tr w:rsidR="00B37FAE" w:rsidRPr="003D368A" w:rsidTr="00CB15D8">
        <w:trPr>
          <w:trHeight w:val="260"/>
        </w:trPr>
        <w:tc>
          <w:tcPr>
            <w:tcW w:w="81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10-11</w:t>
            </w:r>
          </w:p>
        </w:tc>
        <w:tc>
          <w:tcPr>
            <w:tcW w:w="1800" w:type="dxa"/>
            <w:tcBorders>
              <w:top w:val="nil"/>
              <w:left w:val="nil"/>
              <w:bottom w:val="nil"/>
              <w:right w:val="nil"/>
            </w:tcBorders>
            <w:vAlign w:val="center"/>
          </w:tcPr>
          <w:p w:rsidR="00B37FAE" w:rsidRPr="00D858BA" w:rsidRDefault="00687F68"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S. Meridian Road</w:t>
            </w:r>
          </w:p>
        </w:tc>
        <w:tc>
          <w:tcPr>
            <w:tcW w:w="1170" w:type="dxa"/>
            <w:tcBorders>
              <w:top w:val="nil"/>
              <w:left w:val="nil"/>
              <w:bottom w:val="nil"/>
              <w:right w:val="nil"/>
            </w:tcBorders>
            <w:shd w:val="clear" w:color="auto" w:fill="auto"/>
            <w:noWrap/>
            <w:vAlign w:val="center"/>
            <w:hideMark/>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5</w:t>
            </w:r>
          </w:p>
        </w:tc>
      </w:tr>
      <w:tr w:rsidR="00B37FAE" w:rsidRPr="003D368A" w:rsidTr="00CB15D8">
        <w:trPr>
          <w:trHeight w:val="260"/>
        </w:trPr>
        <w:tc>
          <w:tcPr>
            <w:tcW w:w="810" w:type="dxa"/>
            <w:tcBorders>
              <w:top w:val="nil"/>
              <w:left w:val="nil"/>
              <w:bottom w:val="nil"/>
              <w:right w:val="nil"/>
            </w:tcBorders>
            <w:shd w:val="clear" w:color="auto" w:fill="auto"/>
            <w:noWrap/>
            <w:vAlign w:val="center"/>
          </w:tcPr>
          <w:p w:rsidR="00B37FAE" w:rsidRPr="00D858BA" w:rsidRDefault="00B37FAE" w:rsidP="002F0AB6">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11-10</w:t>
            </w:r>
          </w:p>
        </w:tc>
        <w:tc>
          <w:tcPr>
            <w:tcW w:w="1800" w:type="dxa"/>
            <w:tcBorders>
              <w:top w:val="nil"/>
              <w:left w:val="nil"/>
              <w:bottom w:val="nil"/>
              <w:right w:val="nil"/>
            </w:tcBorders>
            <w:vAlign w:val="center"/>
          </w:tcPr>
          <w:p w:rsidR="00B37FAE" w:rsidRPr="00D858BA" w:rsidRDefault="00687F68"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S Meridian Rd.</w:t>
            </w:r>
          </w:p>
        </w:tc>
        <w:tc>
          <w:tcPr>
            <w:tcW w:w="1170" w:type="dxa"/>
            <w:tcBorders>
              <w:top w:val="nil"/>
              <w:left w:val="nil"/>
              <w:bottom w:val="nil"/>
              <w:right w:val="nil"/>
            </w:tcBorders>
            <w:shd w:val="clear" w:color="auto" w:fill="auto"/>
            <w:noWrap/>
            <w:vAlign w:val="center"/>
          </w:tcPr>
          <w:p w:rsidR="00B37FAE" w:rsidRPr="00D858BA" w:rsidRDefault="00B37FAE" w:rsidP="003D368A">
            <w:pPr>
              <w:spacing w:after="0" w:line="240" w:lineRule="auto"/>
              <w:jc w:val="right"/>
              <w:rPr>
                <w:rFonts w:ascii="Calibri" w:eastAsia="Times New Roman" w:hAnsi="Calibri" w:cs="Calibri"/>
                <w:color w:val="000000"/>
                <w:sz w:val="20"/>
                <w:szCs w:val="20"/>
              </w:rPr>
            </w:pPr>
            <w:r w:rsidRPr="00D858BA">
              <w:rPr>
                <w:rFonts w:ascii="Calibri" w:eastAsia="Times New Roman" w:hAnsi="Calibri" w:cs="Calibri"/>
                <w:color w:val="000000"/>
                <w:sz w:val="20"/>
                <w:szCs w:val="20"/>
              </w:rPr>
              <w:t>5</w:t>
            </w:r>
          </w:p>
        </w:tc>
      </w:tr>
    </w:tbl>
    <w:p w:rsidR="003D368A" w:rsidRDefault="003D368A" w:rsidP="00483452"/>
    <w:p w:rsidR="00E56267" w:rsidRDefault="00E56267" w:rsidP="00E56267">
      <w:pPr>
        <w:pStyle w:val="ListParagraph"/>
        <w:numPr>
          <w:ilvl w:val="0"/>
          <w:numId w:val="1"/>
        </w:numPr>
        <w:rPr>
          <w:b/>
        </w:rPr>
      </w:pPr>
      <w:r w:rsidRPr="00B47FFE">
        <w:rPr>
          <w:b/>
        </w:rPr>
        <w:t>Urban Design Proposal</w:t>
      </w:r>
    </w:p>
    <w:p w:rsidR="00B47FFE" w:rsidRDefault="00B47FFE" w:rsidP="00B47FFE">
      <w:r>
        <w:t>Three urban design proposals were examined utilizing the TrafAsmtUE.exe program:</w:t>
      </w:r>
    </w:p>
    <w:p w:rsidR="00B47FFE" w:rsidRDefault="00B47FFE" w:rsidP="00B47FFE">
      <w:pPr>
        <w:pStyle w:val="ListParagraph"/>
        <w:numPr>
          <w:ilvl w:val="0"/>
          <w:numId w:val="2"/>
        </w:numPr>
      </w:pPr>
      <w:r>
        <w:t>The closure of Skid Row to vehicular traffic.</w:t>
      </w:r>
    </w:p>
    <w:p w:rsidR="00B47FFE" w:rsidRDefault="00B47FFE" w:rsidP="00B47FFE">
      <w:pPr>
        <w:pStyle w:val="ListParagraph"/>
        <w:numPr>
          <w:ilvl w:val="0"/>
          <w:numId w:val="2"/>
        </w:numPr>
      </w:pPr>
      <w:r>
        <w:t>Eastbound Race St. and Westbound Rush St. one-way couplet + Skid Row closure.</w:t>
      </w:r>
    </w:p>
    <w:p w:rsidR="00B47FFE" w:rsidRDefault="00B47FFE" w:rsidP="00B47FFE">
      <w:pPr>
        <w:pStyle w:val="ListParagraph"/>
        <w:numPr>
          <w:ilvl w:val="0"/>
          <w:numId w:val="2"/>
        </w:numPr>
      </w:pPr>
      <w:r>
        <w:t>Reverse one-way couplet on Race St. and Rush St + Skid Row closure.</w:t>
      </w:r>
    </w:p>
    <w:p w:rsidR="00B47FFE" w:rsidRDefault="00B47FFE" w:rsidP="00B47FFE"/>
    <w:p w:rsidR="00B47FFE" w:rsidRDefault="00B47FFE" w:rsidP="00B47FFE"/>
    <w:p w:rsidR="00B47FFE" w:rsidRPr="00B47FFE" w:rsidRDefault="00B47FFE" w:rsidP="00B47FFE">
      <w:r>
        <w:lastRenderedPageBreak/>
        <w:t xml:space="preserve">Appendix A </w:t>
      </w:r>
      <w:r w:rsidR="00CB15D8">
        <w:t xml:space="preserve">illustrates the change in volume per link, denoted by direction, for each of the three scenarios compared to the baseline. </w:t>
      </w:r>
    </w:p>
    <w:p w:rsidR="00671A5A" w:rsidRDefault="00BB62EE" w:rsidP="00483452">
      <w:r>
        <w:t xml:space="preserve">All scenarios divert traffic onto Hypotenuse St., Murphy’s Way, and N. Meridian Road.  Circle Freeway South also sees a notable increase in volume, ranging from 3% to 18% over baseline.  This increase in volume does not extend to Circle Freeway North, which sees 0 volume change over all three scenarios; Hypotenuse St. and Murphy’s Way instead takes any change in volume resulting from the projects.  </w:t>
      </w:r>
    </w:p>
    <w:p w:rsidR="00E451DB" w:rsidRDefault="00E451DB" w:rsidP="00483452">
      <w:r>
        <w:t xml:space="preserve">Fig 1 depicts the change in total vehicle minutes on the </w:t>
      </w:r>
      <w:proofErr w:type="spellStart"/>
      <w:r>
        <w:t>Simpletown</w:t>
      </w:r>
      <w:proofErr w:type="spellEnd"/>
      <w:r>
        <w:t xml:space="preserve"> network resulting from the projects. All proposed projects produce an increase in total vehicle minutes over the baseline condition. </w:t>
      </w:r>
    </w:p>
    <w:p w:rsidR="00E451DB" w:rsidRDefault="00E451DB" w:rsidP="00483452"/>
    <w:p w:rsidR="00E451DB" w:rsidRDefault="00E451DB" w:rsidP="00E451DB">
      <w:pPr>
        <w:rPr>
          <w:i/>
        </w:rPr>
      </w:pPr>
      <w:r>
        <w:rPr>
          <w:noProof/>
        </w:rPr>
        <w:drawing>
          <wp:inline distT="0" distB="0" distL="0" distR="0" wp14:anchorId="3A1CCB58" wp14:editId="29D02F18">
            <wp:extent cx="4826000" cy="2609850"/>
            <wp:effectExtent l="0" t="0" r="1270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51DB" w:rsidRPr="00E451DB" w:rsidRDefault="00E451DB" w:rsidP="00E451DB">
      <w:pPr>
        <w:rPr>
          <w:i/>
        </w:rPr>
      </w:pPr>
    </w:p>
    <w:p w:rsidR="00AC5D04" w:rsidRDefault="00AC5D04" w:rsidP="00483452">
      <w:r>
        <w:t>Converting from V/C ratios to Level of Service (LOS) designations allows for classification of the total vehicle minutes</w:t>
      </w:r>
      <w:r w:rsidR="00E451DB">
        <w:t xml:space="preserve"> on the </w:t>
      </w:r>
      <w:proofErr w:type="spellStart"/>
      <w:r w:rsidR="00E451DB">
        <w:t>Simpletown</w:t>
      </w:r>
      <w:proofErr w:type="spellEnd"/>
      <w:r w:rsidR="00E451DB">
        <w:t xml:space="preserve"> Network (Table 5</w:t>
      </w:r>
      <w:r>
        <w:t xml:space="preserve">). </w:t>
      </w:r>
    </w:p>
    <w:tbl>
      <w:tblPr>
        <w:tblW w:w="8042" w:type="dxa"/>
        <w:tblLook w:val="04A0" w:firstRow="1" w:lastRow="0" w:firstColumn="1" w:lastColumn="0" w:noHBand="0" w:noVBand="1"/>
      </w:tblPr>
      <w:tblGrid>
        <w:gridCol w:w="1504"/>
        <w:gridCol w:w="4928"/>
        <w:gridCol w:w="1626"/>
      </w:tblGrid>
      <w:tr w:rsidR="00E451DB" w:rsidRPr="00AC5D04" w:rsidTr="006B1559">
        <w:trPr>
          <w:trHeight w:val="315"/>
        </w:trPr>
        <w:tc>
          <w:tcPr>
            <w:tcW w:w="8042" w:type="dxa"/>
            <w:gridSpan w:val="3"/>
            <w:tcBorders>
              <w:top w:val="nil"/>
              <w:left w:val="nil"/>
              <w:right w:val="nil"/>
            </w:tcBorders>
            <w:shd w:val="clear" w:color="auto" w:fill="auto"/>
            <w:noWrap/>
            <w:tcMar>
              <w:left w:w="0" w:type="dxa"/>
              <w:right w:w="0" w:type="dxa"/>
            </w:tcMar>
            <w:vAlign w:val="center"/>
          </w:tcPr>
          <w:p w:rsidR="00E451DB" w:rsidRPr="00E451DB" w:rsidRDefault="00E451DB" w:rsidP="00AC5D04">
            <w:pPr>
              <w:spacing w:after="0" w:line="240" w:lineRule="auto"/>
              <w:rPr>
                <w:rFonts w:ascii="Calibri" w:eastAsia="Times New Roman" w:hAnsi="Calibri" w:cs="Calibri"/>
                <w:b/>
                <w:i/>
                <w:color w:val="000000"/>
                <w:sz w:val="20"/>
                <w:szCs w:val="20"/>
              </w:rPr>
            </w:pPr>
            <w:r w:rsidRPr="00E451DB">
              <w:rPr>
                <w:rFonts w:ascii="Calibri" w:eastAsia="Times New Roman" w:hAnsi="Calibri" w:cs="Calibri"/>
                <w:b/>
                <w:i/>
                <w:color w:val="000000"/>
                <w:sz w:val="20"/>
                <w:szCs w:val="20"/>
              </w:rPr>
              <w:t>Table 5: Classifying V/C Ranges into LOS Conditions</w:t>
            </w:r>
          </w:p>
        </w:tc>
      </w:tr>
      <w:tr w:rsidR="00B821CD" w:rsidRPr="00AC5D04" w:rsidTr="006B1559">
        <w:trPr>
          <w:trHeight w:val="315"/>
        </w:trPr>
        <w:tc>
          <w:tcPr>
            <w:tcW w:w="1488" w:type="dxa"/>
            <w:tcBorders>
              <w:top w:val="nil"/>
              <w:left w:val="nil"/>
              <w:bottom w:val="single" w:sz="4" w:space="0" w:color="auto"/>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b/>
                <w:color w:val="000000"/>
                <w:sz w:val="20"/>
                <w:szCs w:val="20"/>
              </w:rPr>
            </w:pPr>
            <w:r w:rsidRPr="00AC5D04">
              <w:rPr>
                <w:rFonts w:ascii="Calibri" w:eastAsia="Times New Roman" w:hAnsi="Calibri" w:cs="Calibri"/>
                <w:b/>
                <w:color w:val="000000"/>
                <w:sz w:val="20"/>
                <w:szCs w:val="20"/>
              </w:rPr>
              <w:t>Level of Service</w:t>
            </w:r>
          </w:p>
        </w:tc>
        <w:tc>
          <w:tcPr>
            <w:tcW w:w="4944" w:type="dxa"/>
            <w:tcBorders>
              <w:top w:val="nil"/>
              <w:left w:val="nil"/>
              <w:bottom w:val="single" w:sz="4" w:space="0" w:color="auto"/>
            </w:tcBorders>
            <w:tcMar>
              <w:left w:w="0" w:type="dxa"/>
              <w:right w:w="0" w:type="dxa"/>
            </w:tcMar>
            <w:vAlign w:val="center"/>
          </w:tcPr>
          <w:p w:rsidR="00B821CD" w:rsidRPr="00B821CD" w:rsidRDefault="00B821CD" w:rsidP="00AC5D04">
            <w:pPr>
              <w:spacing w:after="0" w:line="240" w:lineRule="auto"/>
              <w:rPr>
                <w:rFonts w:ascii="Calibri" w:eastAsia="Times New Roman" w:hAnsi="Calibri" w:cs="Calibri"/>
                <w:b/>
                <w:color w:val="000000"/>
                <w:sz w:val="20"/>
                <w:szCs w:val="20"/>
              </w:rPr>
            </w:pPr>
            <w:r w:rsidRPr="00B821CD">
              <w:rPr>
                <w:rFonts w:ascii="Calibri" w:eastAsia="Times New Roman" w:hAnsi="Calibri" w:cs="Calibri"/>
                <w:b/>
                <w:color w:val="000000"/>
                <w:sz w:val="20"/>
                <w:szCs w:val="20"/>
              </w:rPr>
              <w:t>Description</w:t>
            </w:r>
          </w:p>
        </w:tc>
        <w:tc>
          <w:tcPr>
            <w:tcW w:w="1610" w:type="dxa"/>
            <w:tcBorders>
              <w:top w:val="nil"/>
              <w:bottom w:val="single" w:sz="4" w:space="0" w:color="auto"/>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b/>
                <w:color w:val="000000"/>
                <w:sz w:val="20"/>
                <w:szCs w:val="20"/>
              </w:rPr>
            </w:pPr>
            <w:r w:rsidRPr="00AC5D04">
              <w:rPr>
                <w:rFonts w:ascii="Calibri" w:eastAsia="Times New Roman" w:hAnsi="Calibri" w:cs="Calibri"/>
                <w:b/>
                <w:color w:val="000000"/>
                <w:sz w:val="20"/>
                <w:szCs w:val="20"/>
              </w:rPr>
              <w:t>V/C range</w:t>
            </w:r>
          </w:p>
        </w:tc>
      </w:tr>
      <w:tr w:rsidR="00B821CD" w:rsidRPr="00AC5D04" w:rsidTr="006B1559">
        <w:trPr>
          <w:trHeight w:val="315"/>
        </w:trPr>
        <w:tc>
          <w:tcPr>
            <w:tcW w:w="1488" w:type="dxa"/>
            <w:tcBorders>
              <w:top w:val="single" w:sz="4" w:space="0" w:color="auto"/>
              <w:left w:val="nil"/>
              <w:bottom w:val="nil"/>
              <w:right w:val="nil"/>
            </w:tcBorders>
            <w:shd w:val="clear" w:color="auto" w:fill="auto"/>
            <w:noWrap/>
            <w:tcMar>
              <w:left w:w="0" w:type="dxa"/>
              <w:right w:w="0" w:type="dxa"/>
            </w:tcMar>
            <w:vAlign w:val="center"/>
            <w:hideMark/>
          </w:tcPr>
          <w:p w:rsidR="00B821CD" w:rsidRPr="00AC5D04" w:rsidRDefault="00B821CD" w:rsidP="009C1BD0">
            <w:pPr>
              <w:spacing w:after="0" w:line="240" w:lineRule="auto"/>
              <w:jc w:val="center"/>
              <w:rPr>
                <w:rFonts w:ascii="Calibri" w:eastAsia="Times New Roman" w:hAnsi="Calibri" w:cs="Calibri"/>
                <w:color w:val="000000"/>
                <w:sz w:val="20"/>
                <w:szCs w:val="20"/>
              </w:rPr>
            </w:pPr>
            <w:r w:rsidRPr="00AC5D04">
              <w:rPr>
                <w:rFonts w:ascii="Calibri" w:eastAsia="Times New Roman" w:hAnsi="Calibri" w:cs="Calibri"/>
                <w:color w:val="000000"/>
                <w:sz w:val="20"/>
                <w:szCs w:val="20"/>
              </w:rPr>
              <w:t>A</w:t>
            </w:r>
          </w:p>
        </w:tc>
        <w:tc>
          <w:tcPr>
            <w:tcW w:w="4944" w:type="dxa"/>
            <w:tcBorders>
              <w:top w:val="single" w:sz="4" w:space="0" w:color="auto"/>
              <w:left w:val="nil"/>
              <w:bottom w:val="nil"/>
            </w:tcBorders>
            <w:tcMar>
              <w:left w:w="0" w:type="dxa"/>
              <w:right w:w="0" w:type="dxa"/>
            </w:tcMar>
            <w:vAlign w:val="center"/>
          </w:tcPr>
          <w:p w:rsidR="00B821CD" w:rsidRPr="00B821CD" w:rsidRDefault="00B821CD" w:rsidP="00AC5D04">
            <w:pPr>
              <w:spacing w:after="0" w:line="240" w:lineRule="auto"/>
              <w:rPr>
                <w:rFonts w:ascii="Calibri" w:eastAsia="Times New Roman" w:hAnsi="Calibri" w:cs="Calibri"/>
                <w:color w:val="000000"/>
                <w:sz w:val="20"/>
                <w:szCs w:val="20"/>
              </w:rPr>
            </w:pPr>
            <w:r w:rsidRPr="00B821CD">
              <w:rPr>
                <w:rFonts w:ascii="Calibri" w:eastAsia="Times New Roman" w:hAnsi="Calibri" w:cs="Calibri"/>
                <w:color w:val="000000"/>
                <w:sz w:val="20"/>
                <w:szCs w:val="20"/>
              </w:rPr>
              <w:t>Free-flow conditions.</w:t>
            </w:r>
          </w:p>
        </w:tc>
        <w:tc>
          <w:tcPr>
            <w:tcW w:w="1610" w:type="dxa"/>
            <w:tcBorders>
              <w:top w:val="single" w:sz="4" w:space="0" w:color="auto"/>
              <w:bottom w:val="nil"/>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color w:val="000000"/>
                <w:sz w:val="20"/>
                <w:szCs w:val="20"/>
              </w:rPr>
            </w:pPr>
            <w:r w:rsidRPr="00AC5D04">
              <w:rPr>
                <w:rFonts w:ascii="Calibri" w:eastAsia="Times New Roman" w:hAnsi="Calibri" w:cs="Calibri"/>
                <w:color w:val="000000"/>
                <w:sz w:val="20"/>
                <w:szCs w:val="20"/>
              </w:rPr>
              <w:t>0.00 to 0.60</w:t>
            </w:r>
          </w:p>
        </w:tc>
      </w:tr>
      <w:tr w:rsidR="00B821CD" w:rsidRPr="00AC5D04" w:rsidTr="006B1559">
        <w:trPr>
          <w:trHeight w:val="315"/>
        </w:trPr>
        <w:tc>
          <w:tcPr>
            <w:tcW w:w="1488" w:type="dxa"/>
            <w:tcBorders>
              <w:top w:val="nil"/>
              <w:left w:val="nil"/>
              <w:bottom w:val="nil"/>
              <w:right w:val="nil"/>
            </w:tcBorders>
            <w:shd w:val="clear" w:color="auto" w:fill="auto"/>
            <w:noWrap/>
            <w:tcMar>
              <w:left w:w="0" w:type="dxa"/>
              <w:right w:w="0" w:type="dxa"/>
            </w:tcMar>
            <w:vAlign w:val="center"/>
            <w:hideMark/>
          </w:tcPr>
          <w:p w:rsidR="00B821CD" w:rsidRPr="00AC5D04" w:rsidRDefault="00B821CD" w:rsidP="009C1BD0">
            <w:pPr>
              <w:spacing w:after="0" w:line="240" w:lineRule="auto"/>
              <w:jc w:val="center"/>
              <w:rPr>
                <w:rFonts w:ascii="Calibri" w:eastAsia="Times New Roman" w:hAnsi="Calibri" w:cs="Calibri"/>
                <w:color w:val="000000"/>
                <w:sz w:val="20"/>
                <w:szCs w:val="20"/>
              </w:rPr>
            </w:pPr>
            <w:r w:rsidRPr="00AC5D04">
              <w:rPr>
                <w:rFonts w:ascii="Calibri" w:eastAsia="Times New Roman" w:hAnsi="Calibri" w:cs="Calibri"/>
                <w:color w:val="000000"/>
                <w:sz w:val="20"/>
                <w:szCs w:val="20"/>
              </w:rPr>
              <w:t>B</w:t>
            </w:r>
          </w:p>
        </w:tc>
        <w:tc>
          <w:tcPr>
            <w:tcW w:w="4944" w:type="dxa"/>
            <w:tcBorders>
              <w:top w:val="nil"/>
              <w:left w:val="nil"/>
              <w:bottom w:val="nil"/>
            </w:tcBorders>
            <w:tcMar>
              <w:left w:w="0" w:type="dxa"/>
              <w:right w:w="0" w:type="dxa"/>
            </w:tcMar>
            <w:vAlign w:val="center"/>
          </w:tcPr>
          <w:p w:rsidR="00B821CD" w:rsidRPr="00B821CD" w:rsidRDefault="00B821CD" w:rsidP="00AC5D04">
            <w:pPr>
              <w:spacing w:after="0" w:line="240" w:lineRule="auto"/>
              <w:rPr>
                <w:rFonts w:ascii="Calibri" w:eastAsia="Times New Roman" w:hAnsi="Calibri" w:cs="Calibri"/>
                <w:color w:val="000000"/>
                <w:sz w:val="20"/>
                <w:szCs w:val="20"/>
              </w:rPr>
            </w:pPr>
            <w:r w:rsidRPr="00B821CD">
              <w:rPr>
                <w:rFonts w:ascii="Calibri" w:eastAsia="Times New Roman" w:hAnsi="Calibri" w:cs="Calibri"/>
                <w:color w:val="000000"/>
                <w:sz w:val="20"/>
                <w:szCs w:val="20"/>
              </w:rPr>
              <w:t>Reasonably unimpeded operations.</w:t>
            </w:r>
          </w:p>
        </w:tc>
        <w:tc>
          <w:tcPr>
            <w:tcW w:w="1610" w:type="dxa"/>
            <w:tcBorders>
              <w:top w:val="nil"/>
              <w:bottom w:val="nil"/>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color w:val="000000"/>
                <w:sz w:val="20"/>
                <w:szCs w:val="20"/>
              </w:rPr>
            </w:pPr>
            <w:r w:rsidRPr="00AC5D04">
              <w:rPr>
                <w:rFonts w:ascii="Calibri" w:eastAsia="Times New Roman" w:hAnsi="Calibri" w:cs="Calibri"/>
                <w:color w:val="000000"/>
                <w:sz w:val="20"/>
                <w:szCs w:val="20"/>
              </w:rPr>
              <w:t>0.61 to 0.70</w:t>
            </w:r>
          </w:p>
        </w:tc>
      </w:tr>
      <w:tr w:rsidR="00B821CD" w:rsidRPr="00AC5D04" w:rsidTr="006B1559">
        <w:trPr>
          <w:trHeight w:val="315"/>
        </w:trPr>
        <w:tc>
          <w:tcPr>
            <w:tcW w:w="1488" w:type="dxa"/>
            <w:tcBorders>
              <w:top w:val="nil"/>
              <w:left w:val="nil"/>
              <w:bottom w:val="nil"/>
              <w:right w:val="nil"/>
            </w:tcBorders>
            <w:shd w:val="clear" w:color="auto" w:fill="auto"/>
            <w:noWrap/>
            <w:tcMar>
              <w:left w:w="0" w:type="dxa"/>
              <w:right w:w="0" w:type="dxa"/>
            </w:tcMar>
            <w:vAlign w:val="center"/>
            <w:hideMark/>
          </w:tcPr>
          <w:p w:rsidR="00B821CD" w:rsidRPr="00AC5D04" w:rsidRDefault="00B821CD" w:rsidP="009C1BD0">
            <w:pPr>
              <w:spacing w:after="0" w:line="240" w:lineRule="auto"/>
              <w:jc w:val="center"/>
              <w:rPr>
                <w:rFonts w:ascii="Calibri" w:eastAsia="Times New Roman" w:hAnsi="Calibri" w:cs="Calibri"/>
                <w:color w:val="000000"/>
                <w:sz w:val="20"/>
                <w:szCs w:val="20"/>
              </w:rPr>
            </w:pPr>
            <w:r w:rsidRPr="00AC5D04">
              <w:rPr>
                <w:rFonts w:ascii="Calibri" w:eastAsia="Times New Roman" w:hAnsi="Calibri" w:cs="Calibri"/>
                <w:color w:val="000000"/>
                <w:sz w:val="20"/>
                <w:szCs w:val="20"/>
              </w:rPr>
              <w:t>C</w:t>
            </w:r>
          </w:p>
        </w:tc>
        <w:tc>
          <w:tcPr>
            <w:tcW w:w="4944" w:type="dxa"/>
            <w:tcBorders>
              <w:top w:val="nil"/>
              <w:left w:val="nil"/>
              <w:bottom w:val="nil"/>
            </w:tcBorders>
            <w:tcMar>
              <w:left w:w="0" w:type="dxa"/>
              <w:right w:w="0" w:type="dxa"/>
            </w:tcMar>
            <w:vAlign w:val="center"/>
          </w:tcPr>
          <w:p w:rsidR="00B821CD" w:rsidRPr="00B821CD" w:rsidRDefault="00B821CD" w:rsidP="00B821CD">
            <w:pPr>
              <w:spacing w:after="0" w:line="240" w:lineRule="auto"/>
              <w:rPr>
                <w:rFonts w:ascii="Calibri" w:eastAsia="Times New Roman" w:hAnsi="Calibri" w:cs="Calibri"/>
                <w:color w:val="000000"/>
                <w:sz w:val="20"/>
                <w:szCs w:val="20"/>
              </w:rPr>
            </w:pPr>
            <w:r w:rsidRPr="00B821CD">
              <w:rPr>
                <w:rFonts w:ascii="Calibri" w:eastAsia="Times New Roman" w:hAnsi="Calibri" w:cs="Calibri"/>
                <w:color w:val="000000"/>
                <w:sz w:val="20"/>
                <w:szCs w:val="20"/>
              </w:rPr>
              <w:t xml:space="preserve">Stable operations, with restrictions. </w:t>
            </w:r>
          </w:p>
        </w:tc>
        <w:tc>
          <w:tcPr>
            <w:tcW w:w="1610" w:type="dxa"/>
            <w:tcBorders>
              <w:top w:val="nil"/>
              <w:bottom w:val="nil"/>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color w:val="000000"/>
                <w:sz w:val="20"/>
                <w:szCs w:val="20"/>
              </w:rPr>
            </w:pPr>
            <w:r w:rsidRPr="00AC5D04">
              <w:rPr>
                <w:rFonts w:ascii="Calibri" w:eastAsia="Times New Roman" w:hAnsi="Calibri" w:cs="Calibri"/>
                <w:color w:val="000000"/>
                <w:sz w:val="20"/>
                <w:szCs w:val="20"/>
              </w:rPr>
              <w:t>0.71 to 0.80</w:t>
            </w:r>
          </w:p>
        </w:tc>
      </w:tr>
      <w:tr w:rsidR="00B821CD" w:rsidRPr="00AC5D04" w:rsidTr="006B1559">
        <w:trPr>
          <w:trHeight w:val="315"/>
        </w:trPr>
        <w:tc>
          <w:tcPr>
            <w:tcW w:w="1488" w:type="dxa"/>
            <w:tcBorders>
              <w:top w:val="nil"/>
              <w:left w:val="nil"/>
              <w:bottom w:val="nil"/>
              <w:right w:val="nil"/>
            </w:tcBorders>
            <w:shd w:val="clear" w:color="auto" w:fill="auto"/>
            <w:noWrap/>
            <w:tcMar>
              <w:left w:w="0" w:type="dxa"/>
              <w:right w:w="0" w:type="dxa"/>
            </w:tcMar>
            <w:vAlign w:val="center"/>
            <w:hideMark/>
          </w:tcPr>
          <w:p w:rsidR="00B821CD" w:rsidRPr="00AC5D04" w:rsidRDefault="00B821CD" w:rsidP="009C1BD0">
            <w:pPr>
              <w:spacing w:after="0" w:line="240" w:lineRule="auto"/>
              <w:jc w:val="center"/>
              <w:rPr>
                <w:rFonts w:ascii="Calibri" w:eastAsia="Times New Roman" w:hAnsi="Calibri" w:cs="Calibri"/>
                <w:color w:val="000000"/>
                <w:sz w:val="20"/>
                <w:szCs w:val="20"/>
              </w:rPr>
            </w:pPr>
            <w:r w:rsidRPr="00AC5D04">
              <w:rPr>
                <w:rFonts w:ascii="Calibri" w:eastAsia="Times New Roman" w:hAnsi="Calibri" w:cs="Calibri"/>
                <w:color w:val="000000"/>
                <w:sz w:val="20"/>
                <w:szCs w:val="20"/>
              </w:rPr>
              <w:t>D</w:t>
            </w:r>
          </w:p>
        </w:tc>
        <w:tc>
          <w:tcPr>
            <w:tcW w:w="4944" w:type="dxa"/>
            <w:tcBorders>
              <w:top w:val="nil"/>
              <w:left w:val="nil"/>
              <w:bottom w:val="nil"/>
            </w:tcBorders>
            <w:tcMar>
              <w:left w:w="0" w:type="dxa"/>
              <w:right w:w="0" w:type="dxa"/>
            </w:tcMar>
            <w:vAlign w:val="center"/>
          </w:tcPr>
          <w:p w:rsidR="00B821CD" w:rsidRPr="00B821CD" w:rsidRDefault="00B821CD" w:rsidP="00AC5D04">
            <w:pPr>
              <w:spacing w:after="0" w:line="240" w:lineRule="auto"/>
              <w:rPr>
                <w:rFonts w:ascii="Calibri" w:eastAsia="Times New Roman" w:hAnsi="Calibri" w:cs="Calibri"/>
                <w:color w:val="000000"/>
                <w:sz w:val="20"/>
                <w:szCs w:val="20"/>
              </w:rPr>
            </w:pPr>
            <w:r w:rsidRPr="00B821CD">
              <w:rPr>
                <w:rFonts w:ascii="Calibri" w:eastAsia="Times New Roman" w:hAnsi="Calibri" w:cs="Calibri"/>
                <w:color w:val="000000"/>
                <w:sz w:val="20"/>
                <w:szCs w:val="20"/>
              </w:rPr>
              <w:t>Approaching unstable operations.</w:t>
            </w:r>
          </w:p>
        </w:tc>
        <w:tc>
          <w:tcPr>
            <w:tcW w:w="1610" w:type="dxa"/>
            <w:tcBorders>
              <w:top w:val="nil"/>
              <w:bottom w:val="nil"/>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color w:val="000000"/>
                <w:sz w:val="20"/>
                <w:szCs w:val="20"/>
              </w:rPr>
            </w:pPr>
            <w:r w:rsidRPr="00AC5D04">
              <w:rPr>
                <w:rFonts w:ascii="Calibri" w:eastAsia="Times New Roman" w:hAnsi="Calibri" w:cs="Calibri"/>
                <w:color w:val="000000"/>
                <w:sz w:val="20"/>
                <w:szCs w:val="20"/>
              </w:rPr>
              <w:t>0.81 to 0.90</w:t>
            </w:r>
          </w:p>
        </w:tc>
      </w:tr>
      <w:tr w:rsidR="00B821CD" w:rsidRPr="00AC5D04" w:rsidTr="006B1559">
        <w:trPr>
          <w:trHeight w:val="315"/>
        </w:trPr>
        <w:tc>
          <w:tcPr>
            <w:tcW w:w="1488" w:type="dxa"/>
            <w:tcBorders>
              <w:top w:val="nil"/>
              <w:left w:val="nil"/>
              <w:right w:val="nil"/>
            </w:tcBorders>
            <w:shd w:val="clear" w:color="auto" w:fill="auto"/>
            <w:noWrap/>
            <w:tcMar>
              <w:left w:w="0" w:type="dxa"/>
              <w:right w:w="0" w:type="dxa"/>
            </w:tcMar>
            <w:vAlign w:val="center"/>
            <w:hideMark/>
          </w:tcPr>
          <w:p w:rsidR="00B821CD" w:rsidRPr="00AC5D04" w:rsidRDefault="00B821CD" w:rsidP="009C1BD0">
            <w:pPr>
              <w:spacing w:after="0" w:line="240" w:lineRule="auto"/>
              <w:jc w:val="center"/>
              <w:rPr>
                <w:rFonts w:ascii="Calibri" w:eastAsia="Times New Roman" w:hAnsi="Calibri" w:cs="Calibri"/>
                <w:color w:val="000000"/>
                <w:sz w:val="20"/>
                <w:szCs w:val="20"/>
              </w:rPr>
            </w:pPr>
            <w:r w:rsidRPr="00AC5D04">
              <w:rPr>
                <w:rFonts w:ascii="Calibri" w:eastAsia="Times New Roman" w:hAnsi="Calibri" w:cs="Calibri"/>
                <w:color w:val="000000"/>
                <w:sz w:val="20"/>
                <w:szCs w:val="20"/>
              </w:rPr>
              <w:t>E</w:t>
            </w:r>
          </w:p>
        </w:tc>
        <w:tc>
          <w:tcPr>
            <w:tcW w:w="4944" w:type="dxa"/>
            <w:tcBorders>
              <w:top w:val="nil"/>
              <w:left w:val="nil"/>
            </w:tcBorders>
            <w:tcMar>
              <w:left w:w="0" w:type="dxa"/>
              <w:right w:w="0" w:type="dxa"/>
            </w:tcMar>
            <w:vAlign w:val="center"/>
          </w:tcPr>
          <w:p w:rsidR="00B821CD" w:rsidRPr="00B821CD" w:rsidRDefault="00B821CD" w:rsidP="00AC5D04">
            <w:pPr>
              <w:spacing w:after="0" w:line="240" w:lineRule="auto"/>
              <w:rPr>
                <w:rFonts w:ascii="Calibri" w:eastAsia="Times New Roman" w:hAnsi="Calibri" w:cs="Calibri"/>
                <w:color w:val="000000"/>
                <w:sz w:val="20"/>
                <w:szCs w:val="20"/>
              </w:rPr>
            </w:pPr>
            <w:r w:rsidRPr="00B821CD">
              <w:rPr>
                <w:rFonts w:ascii="Calibri" w:eastAsia="Times New Roman" w:hAnsi="Calibri" w:cs="Calibri"/>
                <w:color w:val="000000"/>
                <w:sz w:val="20"/>
                <w:szCs w:val="20"/>
              </w:rPr>
              <w:t>Operations with significant intersection approach delays.</w:t>
            </w:r>
          </w:p>
        </w:tc>
        <w:tc>
          <w:tcPr>
            <w:tcW w:w="1610" w:type="dxa"/>
            <w:tcBorders>
              <w:top w:val="nil"/>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color w:val="000000"/>
                <w:sz w:val="20"/>
                <w:szCs w:val="20"/>
              </w:rPr>
            </w:pPr>
            <w:r w:rsidRPr="00AC5D04">
              <w:rPr>
                <w:rFonts w:ascii="Calibri" w:eastAsia="Times New Roman" w:hAnsi="Calibri" w:cs="Calibri"/>
                <w:color w:val="000000"/>
                <w:sz w:val="20"/>
                <w:szCs w:val="20"/>
              </w:rPr>
              <w:t>0.91 to 1.00</w:t>
            </w:r>
          </w:p>
        </w:tc>
      </w:tr>
      <w:tr w:rsidR="00B821CD" w:rsidRPr="00AC5D04" w:rsidTr="006B1559">
        <w:trPr>
          <w:trHeight w:val="315"/>
        </w:trPr>
        <w:tc>
          <w:tcPr>
            <w:tcW w:w="1488" w:type="dxa"/>
            <w:tcBorders>
              <w:top w:val="nil"/>
              <w:left w:val="nil"/>
              <w:bottom w:val="single" w:sz="4" w:space="0" w:color="auto"/>
              <w:right w:val="nil"/>
            </w:tcBorders>
            <w:shd w:val="clear" w:color="auto" w:fill="auto"/>
            <w:noWrap/>
            <w:tcMar>
              <w:left w:w="0" w:type="dxa"/>
              <w:right w:w="0" w:type="dxa"/>
            </w:tcMar>
            <w:vAlign w:val="center"/>
            <w:hideMark/>
          </w:tcPr>
          <w:p w:rsidR="00B821CD" w:rsidRPr="00AC5D04" w:rsidRDefault="00B821CD" w:rsidP="009C1BD0">
            <w:pPr>
              <w:spacing w:after="0" w:line="240" w:lineRule="auto"/>
              <w:jc w:val="center"/>
              <w:rPr>
                <w:rFonts w:ascii="Calibri" w:eastAsia="Times New Roman" w:hAnsi="Calibri" w:cs="Calibri"/>
                <w:color w:val="000000"/>
                <w:sz w:val="20"/>
                <w:szCs w:val="20"/>
              </w:rPr>
            </w:pPr>
            <w:r w:rsidRPr="00AC5D04">
              <w:rPr>
                <w:rFonts w:ascii="Calibri" w:eastAsia="Times New Roman" w:hAnsi="Calibri" w:cs="Calibri"/>
                <w:color w:val="000000"/>
                <w:sz w:val="20"/>
                <w:szCs w:val="20"/>
              </w:rPr>
              <w:t>F</w:t>
            </w:r>
          </w:p>
        </w:tc>
        <w:tc>
          <w:tcPr>
            <w:tcW w:w="4944" w:type="dxa"/>
            <w:tcBorders>
              <w:top w:val="nil"/>
              <w:left w:val="nil"/>
              <w:bottom w:val="single" w:sz="4" w:space="0" w:color="auto"/>
            </w:tcBorders>
            <w:tcMar>
              <w:left w:w="0" w:type="dxa"/>
              <w:right w:w="0" w:type="dxa"/>
            </w:tcMar>
            <w:vAlign w:val="center"/>
          </w:tcPr>
          <w:p w:rsidR="00B821CD" w:rsidRPr="00B821CD" w:rsidRDefault="00B821CD" w:rsidP="00AC5D04">
            <w:pPr>
              <w:spacing w:after="0" w:line="240" w:lineRule="auto"/>
              <w:rPr>
                <w:rFonts w:ascii="Calibri" w:eastAsia="Times New Roman" w:hAnsi="Calibri" w:cs="Calibri"/>
                <w:color w:val="000000"/>
                <w:sz w:val="20"/>
                <w:szCs w:val="20"/>
              </w:rPr>
            </w:pPr>
            <w:r w:rsidRPr="00B821CD">
              <w:rPr>
                <w:rFonts w:ascii="Calibri" w:eastAsia="Times New Roman" w:hAnsi="Calibri" w:cs="Calibri"/>
                <w:color w:val="000000"/>
                <w:sz w:val="20"/>
                <w:szCs w:val="20"/>
              </w:rPr>
              <w:t>Operations with extremely low speeds.</w:t>
            </w:r>
          </w:p>
        </w:tc>
        <w:tc>
          <w:tcPr>
            <w:tcW w:w="1610" w:type="dxa"/>
            <w:tcBorders>
              <w:top w:val="nil"/>
              <w:bottom w:val="single" w:sz="4" w:space="0" w:color="auto"/>
              <w:right w:val="nil"/>
            </w:tcBorders>
            <w:shd w:val="clear" w:color="auto" w:fill="auto"/>
            <w:noWrap/>
            <w:tcMar>
              <w:left w:w="0" w:type="dxa"/>
              <w:right w:w="0" w:type="dxa"/>
            </w:tcMar>
            <w:vAlign w:val="center"/>
            <w:hideMark/>
          </w:tcPr>
          <w:p w:rsidR="00B821CD" w:rsidRPr="00AC5D04" w:rsidRDefault="00B821CD" w:rsidP="00AC5D04">
            <w:pPr>
              <w:spacing w:after="0" w:line="240" w:lineRule="auto"/>
              <w:rPr>
                <w:rFonts w:ascii="Calibri" w:eastAsia="Times New Roman" w:hAnsi="Calibri" w:cs="Calibri"/>
                <w:color w:val="000000"/>
                <w:sz w:val="20"/>
                <w:szCs w:val="20"/>
              </w:rPr>
            </w:pPr>
            <w:r w:rsidRPr="00AC5D04">
              <w:rPr>
                <w:rFonts w:ascii="Calibri" w:eastAsia="Times New Roman" w:hAnsi="Calibri" w:cs="Calibri"/>
                <w:color w:val="000000"/>
                <w:sz w:val="20"/>
                <w:szCs w:val="20"/>
              </w:rPr>
              <w:t>Greater than 1.00</w:t>
            </w:r>
          </w:p>
        </w:tc>
      </w:tr>
      <w:tr w:rsidR="00B821CD" w:rsidRPr="00AC5D04" w:rsidTr="006B1559">
        <w:trPr>
          <w:trHeight w:val="315"/>
        </w:trPr>
        <w:tc>
          <w:tcPr>
            <w:tcW w:w="8042" w:type="dxa"/>
            <w:gridSpan w:val="3"/>
            <w:tcBorders>
              <w:top w:val="single" w:sz="4" w:space="0" w:color="auto"/>
              <w:left w:val="nil"/>
              <w:bottom w:val="nil"/>
            </w:tcBorders>
            <w:tcMar>
              <w:left w:w="0" w:type="dxa"/>
              <w:right w:w="0" w:type="dxa"/>
            </w:tcMar>
          </w:tcPr>
          <w:p w:rsidR="00B821CD" w:rsidRPr="00B821CD" w:rsidRDefault="00B821CD" w:rsidP="00AC5D04">
            <w:pPr>
              <w:spacing w:after="0" w:line="240" w:lineRule="auto"/>
              <w:rPr>
                <w:rFonts w:ascii="Calibri" w:eastAsia="Times New Roman" w:hAnsi="Calibri" w:cs="Calibri"/>
                <w:i/>
                <w:iCs/>
                <w:color w:val="000000"/>
                <w:sz w:val="20"/>
                <w:szCs w:val="20"/>
              </w:rPr>
            </w:pPr>
            <w:r w:rsidRPr="00AC5D04">
              <w:rPr>
                <w:rFonts w:ascii="Calibri" w:eastAsia="Times New Roman" w:hAnsi="Calibri" w:cs="Calibri"/>
                <w:color w:val="000000"/>
                <w:sz w:val="20"/>
                <w:szCs w:val="20"/>
              </w:rPr>
              <w:t xml:space="preserve">Source: Transportation Research Board, </w:t>
            </w:r>
            <w:r w:rsidRPr="00AC5D04">
              <w:rPr>
                <w:rFonts w:ascii="Calibri" w:eastAsia="Times New Roman" w:hAnsi="Calibri" w:cs="Calibri"/>
                <w:i/>
                <w:iCs/>
                <w:color w:val="000000"/>
                <w:sz w:val="20"/>
                <w:szCs w:val="20"/>
              </w:rPr>
              <w:t xml:space="preserve">Highway Capacity Manual, Special Report 209 </w:t>
            </w:r>
          </w:p>
          <w:p w:rsidR="00B821CD" w:rsidRPr="00AC5D04" w:rsidRDefault="00B821CD" w:rsidP="00AC5D04">
            <w:pPr>
              <w:spacing w:after="0" w:line="240" w:lineRule="auto"/>
              <w:rPr>
                <w:rFonts w:ascii="Calibri" w:eastAsia="Times New Roman" w:hAnsi="Calibri" w:cs="Calibri"/>
                <w:color w:val="000000"/>
                <w:sz w:val="20"/>
                <w:szCs w:val="20"/>
              </w:rPr>
            </w:pPr>
            <w:r w:rsidRPr="00B821CD">
              <w:rPr>
                <w:rFonts w:ascii="Calibri" w:eastAsia="Times New Roman" w:hAnsi="Calibri" w:cs="Calibri"/>
                <w:color w:val="000000"/>
                <w:sz w:val="20"/>
                <w:szCs w:val="20"/>
              </w:rPr>
              <w:t xml:space="preserve">              </w:t>
            </w:r>
            <w:r w:rsidRPr="00AC5D04">
              <w:rPr>
                <w:rFonts w:ascii="Calibri" w:eastAsia="Times New Roman" w:hAnsi="Calibri" w:cs="Calibri"/>
                <w:color w:val="000000"/>
                <w:sz w:val="20"/>
                <w:szCs w:val="20"/>
              </w:rPr>
              <w:t>(Washington, D.C., 1994)</w:t>
            </w:r>
          </w:p>
        </w:tc>
      </w:tr>
    </w:tbl>
    <w:p w:rsidR="00AC5D04" w:rsidRDefault="00AC5D04" w:rsidP="00483452"/>
    <w:p w:rsidR="00AC5D04" w:rsidRDefault="00AC5D04" w:rsidP="00483452"/>
    <w:p w:rsidR="00BB62EE" w:rsidRDefault="006B1559" w:rsidP="00483452">
      <w:r>
        <w:lastRenderedPageBreak/>
        <w:t>When comparing networks based on LOS classifications, the</w:t>
      </w:r>
      <w:r w:rsidR="00AC06BF">
        <w:t xml:space="preserve"> </w:t>
      </w:r>
      <w:r w:rsidR="00C848BB">
        <w:t xml:space="preserve"> Race St. / Rush St. Couplet + Skid Road Closure alternative eliminates the greatest percentage of LOS F and LOS D conditions on the network, with significant increases to LOS C.   </w:t>
      </w:r>
    </w:p>
    <w:p w:rsidR="00BB62EE" w:rsidRDefault="00AC5D04" w:rsidP="00483452">
      <w:r>
        <w:rPr>
          <w:noProof/>
        </w:rPr>
        <w:drawing>
          <wp:inline distT="0" distB="0" distL="0" distR="0" wp14:anchorId="14580C23" wp14:editId="5DBDE8C3">
            <wp:extent cx="5700713" cy="3790950"/>
            <wp:effectExtent l="0" t="0" r="146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48BB" w:rsidRDefault="00C848BB" w:rsidP="00483452">
      <w:pPr>
        <w:rPr>
          <w:b/>
        </w:rPr>
      </w:pPr>
    </w:p>
    <w:p w:rsidR="00671A5A" w:rsidRPr="00C848BB" w:rsidRDefault="00C848BB" w:rsidP="00483452">
      <w:pPr>
        <w:rPr>
          <w:b/>
        </w:rPr>
      </w:pPr>
      <w:r w:rsidRPr="00C848BB">
        <w:rPr>
          <w:b/>
        </w:rPr>
        <w:t>Recommendation</w:t>
      </w:r>
    </w:p>
    <w:p w:rsidR="00C848BB" w:rsidRDefault="00C848BB" w:rsidP="00483452">
      <w:r>
        <w:t>Based on th</w:t>
      </w:r>
      <w:r>
        <w:t>e</w:t>
      </w:r>
      <w:r>
        <w:t xml:space="preserve"> analysis</w:t>
      </w:r>
      <w:r>
        <w:t xml:space="preserve"> of proposed urban design changes using the TrafAsmtUE.exe program, the recommended project is the </w:t>
      </w:r>
      <w:r>
        <w:t>Eastbound Race St. and Westbound Rush St. one-way couplet + Skid Row closure</w:t>
      </w:r>
      <w:r>
        <w:t>. While this project ultimately increases vehicular minutes on the network, the total change is marginal, at 1.16%. However, the significant decreases in LOS F and LOS D conditions in this recommended scenario arguably outweighs t</w:t>
      </w:r>
      <w:bookmarkStart w:id="0" w:name="_GoBack"/>
      <w:bookmarkEnd w:id="0"/>
      <w:r>
        <w:t xml:space="preserve">he increase in vehicular minutes. </w:t>
      </w:r>
    </w:p>
    <w:p w:rsidR="00C848BB" w:rsidRDefault="00C848BB" w:rsidP="00483452"/>
    <w:sectPr w:rsidR="00C848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BBA" w:rsidRDefault="00404BBA" w:rsidP="0091488E">
      <w:pPr>
        <w:spacing w:after="0" w:line="240" w:lineRule="auto"/>
      </w:pPr>
      <w:r>
        <w:separator/>
      </w:r>
    </w:p>
  </w:endnote>
  <w:endnote w:type="continuationSeparator" w:id="0">
    <w:p w:rsidR="00404BBA" w:rsidRDefault="00404BBA" w:rsidP="0091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31466"/>
      <w:docPartObj>
        <w:docPartGallery w:val="Page Numbers (Bottom of Page)"/>
        <w:docPartUnique/>
      </w:docPartObj>
    </w:sdtPr>
    <w:sdtEndPr>
      <w:rPr>
        <w:noProof/>
      </w:rPr>
    </w:sdtEndPr>
    <w:sdtContent>
      <w:p w:rsidR="0091488E" w:rsidRDefault="0091488E">
        <w:pPr>
          <w:pStyle w:val="Footer"/>
          <w:jc w:val="right"/>
        </w:pPr>
        <w:r>
          <w:fldChar w:fldCharType="begin"/>
        </w:r>
        <w:r>
          <w:instrText xml:space="preserve"> PAGE   \* MERGEFORMAT </w:instrText>
        </w:r>
        <w:r>
          <w:fldChar w:fldCharType="separate"/>
        </w:r>
        <w:r w:rsidR="006B1559">
          <w:rPr>
            <w:noProof/>
          </w:rPr>
          <w:t>4</w:t>
        </w:r>
        <w:r>
          <w:rPr>
            <w:noProof/>
          </w:rPr>
          <w:fldChar w:fldCharType="end"/>
        </w:r>
      </w:p>
    </w:sdtContent>
  </w:sdt>
  <w:p w:rsidR="0091488E" w:rsidRDefault="00914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BBA" w:rsidRDefault="00404BBA" w:rsidP="0091488E">
      <w:pPr>
        <w:spacing w:after="0" w:line="240" w:lineRule="auto"/>
      </w:pPr>
      <w:r>
        <w:separator/>
      </w:r>
    </w:p>
  </w:footnote>
  <w:footnote w:type="continuationSeparator" w:id="0">
    <w:p w:rsidR="00404BBA" w:rsidRDefault="00404BBA" w:rsidP="00914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2B17C9"/>
    <w:multiLevelType w:val="hybridMultilevel"/>
    <w:tmpl w:val="5224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57956"/>
    <w:multiLevelType w:val="hybridMultilevel"/>
    <w:tmpl w:val="432A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C9"/>
    <w:rsid w:val="00006362"/>
    <w:rsid w:val="000B7DB4"/>
    <w:rsid w:val="000C0812"/>
    <w:rsid w:val="000D17C9"/>
    <w:rsid w:val="00172766"/>
    <w:rsid w:val="0026481B"/>
    <w:rsid w:val="002A723F"/>
    <w:rsid w:val="002F0AB6"/>
    <w:rsid w:val="003D368A"/>
    <w:rsid w:val="003D4C8B"/>
    <w:rsid w:val="00404BBA"/>
    <w:rsid w:val="00406C22"/>
    <w:rsid w:val="00430288"/>
    <w:rsid w:val="00483452"/>
    <w:rsid w:val="00492448"/>
    <w:rsid w:val="005B257C"/>
    <w:rsid w:val="005D7A56"/>
    <w:rsid w:val="006110B4"/>
    <w:rsid w:val="0062758D"/>
    <w:rsid w:val="00671A5A"/>
    <w:rsid w:val="00687F68"/>
    <w:rsid w:val="006B1559"/>
    <w:rsid w:val="00747547"/>
    <w:rsid w:val="008154BA"/>
    <w:rsid w:val="00836DB6"/>
    <w:rsid w:val="00873977"/>
    <w:rsid w:val="0091488E"/>
    <w:rsid w:val="009C1BD0"/>
    <w:rsid w:val="009D467E"/>
    <w:rsid w:val="00A83301"/>
    <w:rsid w:val="00AB7067"/>
    <w:rsid w:val="00AC06BF"/>
    <w:rsid w:val="00AC5D04"/>
    <w:rsid w:val="00B37FAE"/>
    <w:rsid w:val="00B47FFE"/>
    <w:rsid w:val="00B821CD"/>
    <w:rsid w:val="00BB62EE"/>
    <w:rsid w:val="00BF5204"/>
    <w:rsid w:val="00C848BB"/>
    <w:rsid w:val="00CB15D8"/>
    <w:rsid w:val="00D57FD1"/>
    <w:rsid w:val="00D858BA"/>
    <w:rsid w:val="00E154AD"/>
    <w:rsid w:val="00E451DB"/>
    <w:rsid w:val="00E56267"/>
    <w:rsid w:val="00E74EB9"/>
    <w:rsid w:val="00EA484A"/>
    <w:rsid w:val="00F9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D2F9D-0ED2-4BA6-914B-88D5BF09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4BA"/>
    <w:pPr>
      <w:ind w:left="720"/>
      <w:contextualSpacing/>
    </w:pPr>
  </w:style>
  <w:style w:type="paragraph" w:styleId="NoSpacing">
    <w:name w:val="No Spacing"/>
    <w:uiPriority w:val="1"/>
    <w:qFormat/>
    <w:rsid w:val="0091488E"/>
    <w:pPr>
      <w:spacing w:after="0" w:line="240" w:lineRule="auto"/>
    </w:pPr>
  </w:style>
  <w:style w:type="paragraph" w:styleId="Header">
    <w:name w:val="header"/>
    <w:basedOn w:val="Normal"/>
    <w:link w:val="HeaderChar"/>
    <w:uiPriority w:val="99"/>
    <w:unhideWhenUsed/>
    <w:rsid w:val="00914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8E"/>
  </w:style>
  <w:style w:type="paragraph" w:styleId="Footer">
    <w:name w:val="footer"/>
    <w:basedOn w:val="Normal"/>
    <w:link w:val="FooterChar"/>
    <w:uiPriority w:val="99"/>
    <w:unhideWhenUsed/>
    <w:rsid w:val="00914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036395">
      <w:bodyDiv w:val="1"/>
      <w:marLeft w:val="0"/>
      <w:marRight w:val="0"/>
      <w:marTop w:val="0"/>
      <w:marBottom w:val="0"/>
      <w:divBdr>
        <w:top w:val="none" w:sz="0" w:space="0" w:color="auto"/>
        <w:left w:val="none" w:sz="0" w:space="0" w:color="auto"/>
        <w:bottom w:val="none" w:sz="0" w:space="0" w:color="auto"/>
        <w:right w:val="none" w:sz="0" w:space="0" w:color="auto"/>
      </w:divBdr>
    </w:div>
    <w:div w:id="355232171">
      <w:bodyDiv w:val="1"/>
      <w:marLeft w:val="0"/>
      <w:marRight w:val="0"/>
      <w:marTop w:val="0"/>
      <w:marBottom w:val="0"/>
      <w:divBdr>
        <w:top w:val="none" w:sz="0" w:space="0" w:color="auto"/>
        <w:left w:val="none" w:sz="0" w:space="0" w:color="auto"/>
        <w:bottom w:val="none" w:sz="0" w:space="0" w:color="auto"/>
        <w:right w:val="none" w:sz="0" w:space="0" w:color="auto"/>
      </w:divBdr>
    </w:div>
    <w:div w:id="602416086">
      <w:bodyDiv w:val="1"/>
      <w:marLeft w:val="0"/>
      <w:marRight w:val="0"/>
      <w:marTop w:val="0"/>
      <w:marBottom w:val="0"/>
      <w:divBdr>
        <w:top w:val="none" w:sz="0" w:space="0" w:color="auto"/>
        <w:left w:val="none" w:sz="0" w:space="0" w:color="auto"/>
        <w:bottom w:val="none" w:sz="0" w:space="0" w:color="auto"/>
        <w:right w:val="none" w:sz="0" w:space="0" w:color="auto"/>
      </w:divBdr>
    </w:div>
    <w:div w:id="1106383404">
      <w:bodyDiv w:val="1"/>
      <w:marLeft w:val="0"/>
      <w:marRight w:val="0"/>
      <w:marTop w:val="0"/>
      <w:marBottom w:val="0"/>
      <w:divBdr>
        <w:top w:val="none" w:sz="0" w:space="0" w:color="auto"/>
        <w:left w:val="none" w:sz="0" w:space="0" w:color="auto"/>
        <w:bottom w:val="none" w:sz="0" w:space="0" w:color="auto"/>
        <w:right w:val="none" w:sz="0" w:space="0" w:color="auto"/>
      </w:divBdr>
    </w:div>
    <w:div w:id="1150558484">
      <w:bodyDiv w:val="1"/>
      <w:marLeft w:val="0"/>
      <w:marRight w:val="0"/>
      <w:marTop w:val="0"/>
      <w:marBottom w:val="0"/>
      <w:divBdr>
        <w:top w:val="none" w:sz="0" w:space="0" w:color="auto"/>
        <w:left w:val="none" w:sz="0" w:space="0" w:color="auto"/>
        <w:bottom w:val="none" w:sz="0" w:space="0" w:color="auto"/>
        <w:right w:val="none" w:sz="0" w:space="0" w:color="auto"/>
      </w:divBdr>
    </w:div>
    <w:div w:id="1429736133">
      <w:bodyDiv w:val="1"/>
      <w:marLeft w:val="0"/>
      <w:marRight w:val="0"/>
      <w:marTop w:val="0"/>
      <w:marBottom w:val="0"/>
      <w:divBdr>
        <w:top w:val="none" w:sz="0" w:space="0" w:color="auto"/>
        <w:left w:val="none" w:sz="0" w:space="0" w:color="auto"/>
        <w:bottom w:val="none" w:sz="0" w:space="0" w:color="auto"/>
        <w:right w:val="none" w:sz="0" w:space="0" w:color="auto"/>
      </w:divBdr>
    </w:div>
    <w:div w:id="19654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avedrak\KS_personal\USP_587\HW4\TrafAsmtUE_skidRowClo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avedrak\KS_personal\USP_587\HW4\TrafAsmtUE_skidRowClo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 1: Total Vehicle Minutes on Network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Summaries!$B$1</c:f>
              <c:strCache>
                <c:ptCount val="1"/>
                <c:pt idx="0">
                  <c:v>Total Vehicle Minutes on Network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Summaries!$A$2:$A$5</c:f>
              <c:strCache>
                <c:ptCount val="4"/>
                <c:pt idx="0">
                  <c:v>Baseline</c:v>
                </c:pt>
                <c:pt idx="1">
                  <c:v>Skid Row Closure</c:v>
                </c:pt>
                <c:pt idx="2">
                  <c:v>Couplet + Skid Row Closure</c:v>
                </c:pt>
                <c:pt idx="3">
                  <c:v>Reverse Couplet + Skid Row Closure</c:v>
                </c:pt>
              </c:strCache>
            </c:strRef>
          </c:cat>
          <c:val>
            <c:numRef>
              <c:f>Summaries!$B$2:$B$5</c:f>
              <c:numCache>
                <c:formatCode>General</c:formatCode>
                <c:ptCount val="4"/>
                <c:pt idx="0">
                  <c:v>42840.9</c:v>
                </c:pt>
                <c:pt idx="1">
                  <c:v>43120.7</c:v>
                </c:pt>
                <c:pt idx="2">
                  <c:v>43335.9</c:v>
                </c:pt>
                <c:pt idx="3">
                  <c:v>43513.1</c:v>
                </c:pt>
              </c:numCache>
            </c:numRef>
          </c:val>
        </c:ser>
        <c:dLbls>
          <c:showLegendKey val="0"/>
          <c:showVal val="0"/>
          <c:showCatName val="0"/>
          <c:showSerName val="0"/>
          <c:showPercent val="0"/>
          <c:showBubbleSize val="0"/>
        </c:dLbls>
        <c:gapWidth val="219"/>
        <c:overlap val="-27"/>
        <c:axId val="545278576"/>
        <c:axId val="548259296"/>
      </c:barChart>
      <c:catAx>
        <c:axId val="54527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259296"/>
        <c:crosses val="autoZero"/>
        <c:auto val="1"/>
        <c:lblAlgn val="ctr"/>
        <c:lblOffset val="100"/>
        <c:noMultiLvlLbl val="0"/>
      </c:catAx>
      <c:valAx>
        <c:axId val="548259296"/>
        <c:scaling>
          <c:orientation val="minMax"/>
          <c:max val="44000"/>
          <c:min val="4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278576"/>
        <c:crosses val="autoZero"/>
        <c:crossBetween val="between"/>
        <c:majorUnit val="5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 2: Total Vehicle Minutes on Network, by LOS</a:t>
            </a:r>
            <a:r>
              <a:rPr lang="en-US" baseline="0"/>
              <a:t> Designation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Summaries!$B$26</c:f>
              <c:strCache>
                <c:ptCount val="1"/>
                <c:pt idx="0">
                  <c:v>LOS A</c:v>
                </c:pt>
              </c:strCache>
            </c:strRef>
          </c:tx>
          <c:spPr>
            <a:solidFill>
              <a:schemeClr val="accent6">
                <a:lumMod val="50000"/>
              </a:schemeClr>
            </a:solidFill>
            <a:ln>
              <a:noFill/>
            </a:ln>
            <a:effectLst/>
          </c:spPr>
          <c:invertIfNegative val="0"/>
          <c:cat>
            <c:strRef>
              <c:f>Summaries!$A$27:$A$30</c:f>
              <c:strCache>
                <c:ptCount val="4"/>
                <c:pt idx="0">
                  <c:v>Baseline</c:v>
                </c:pt>
                <c:pt idx="1">
                  <c:v>Skid Row Closure</c:v>
                </c:pt>
                <c:pt idx="2">
                  <c:v>Couplet + Skid Row Closure</c:v>
                </c:pt>
                <c:pt idx="3">
                  <c:v>Reverse Couplet + Skid Row Closure</c:v>
                </c:pt>
              </c:strCache>
            </c:strRef>
          </c:cat>
          <c:val>
            <c:numRef>
              <c:f>Summaries!$B$27:$B$30</c:f>
              <c:numCache>
                <c:formatCode>General</c:formatCode>
                <c:ptCount val="4"/>
                <c:pt idx="0">
                  <c:v>14909.970261508</c:v>
                </c:pt>
                <c:pt idx="1">
                  <c:v>14745.570870075999</c:v>
                </c:pt>
                <c:pt idx="2">
                  <c:v>14970.250849899998</c:v>
                </c:pt>
                <c:pt idx="3">
                  <c:v>14723.607370407999</c:v>
                </c:pt>
              </c:numCache>
            </c:numRef>
          </c:val>
        </c:ser>
        <c:ser>
          <c:idx val="1"/>
          <c:order val="1"/>
          <c:tx>
            <c:strRef>
              <c:f>Summaries!$C$26</c:f>
              <c:strCache>
                <c:ptCount val="1"/>
                <c:pt idx="0">
                  <c:v>LOS B</c:v>
                </c:pt>
              </c:strCache>
            </c:strRef>
          </c:tx>
          <c:spPr>
            <a:solidFill>
              <a:schemeClr val="accent6"/>
            </a:solidFill>
            <a:ln>
              <a:noFill/>
            </a:ln>
            <a:effectLst/>
          </c:spPr>
          <c:invertIfNegative val="0"/>
          <c:cat>
            <c:strRef>
              <c:f>Summaries!$A$27:$A$30</c:f>
              <c:strCache>
                <c:ptCount val="4"/>
                <c:pt idx="0">
                  <c:v>Baseline</c:v>
                </c:pt>
                <c:pt idx="1">
                  <c:v>Skid Row Closure</c:v>
                </c:pt>
                <c:pt idx="2">
                  <c:v>Couplet + Skid Row Closure</c:v>
                </c:pt>
                <c:pt idx="3">
                  <c:v>Reverse Couplet + Skid Row Closure</c:v>
                </c:pt>
              </c:strCache>
            </c:strRef>
          </c:cat>
          <c:val>
            <c:numRef>
              <c:f>Summaries!$C$27:$C$30</c:f>
              <c:numCache>
                <c:formatCode>General</c:formatCode>
                <c:ptCount val="4"/>
                <c:pt idx="0">
                  <c:v>3688.6549795280002</c:v>
                </c:pt>
                <c:pt idx="1">
                  <c:v>3319.38592264</c:v>
                </c:pt>
                <c:pt idx="2">
                  <c:v>2784.606673361</c:v>
                </c:pt>
                <c:pt idx="3">
                  <c:v>3596.4864927379999</c:v>
                </c:pt>
              </c:numCache>
            </c:numRef>
          </c:val>
        </c:ser>
        <c:ser>
          <c:idx val="2"/>
          <c:order val="2"/>
          <c:tx>
            <c:strRef>
              <c:f>Summaries!$D$26</c:f>
              <c:strCache>
                <c:ptCount val="1"/>
                <c:pt idx="0">
                  <c:v>LOS C</c:v>
                </c:pt>
              </c:strCache>
            </c:strRef>
          </c:tx>
          <c:spPr>
            <a:solidFill>
              <a:schemeClr val="accent2"/>
            </a:solidFill>
            <a:ln>
              <a:noFill/>
            </a:ln>
            <a:effectLst/>
          </c:spPr>
          <c:invertIfNegative val="0"/>
          <c:cat>
            <c:strRef>
              <c:f>Summaries!$A$27:$A$30</c:f>
              <c:strCache>
                <c:ptCount val="4"/>
                <c:pt idx="0">
                  <c:v>Baseline</c:v>
                </c:pt>
                <c:pt idx="1">
                  <c:v>Skid Row Closure</c:v>
                </c:pt>
                <c:pt idx="2">
                  <c:v>Couplet + Skid Row Closure</c:v>
                </c:pt>
                <c:pt idx="3">
                  <c:v>Reverse Couplet + Skid Row Closure</c:v>
                </c:pt>
              </c:strCache>
            </c:strRef>
          </c:cat>
          <c:val>
            <c:numRef>
              <c:f>Summaries!$D$27:$D$30</c:f>
              <c:numCache>
                <c:formatCode>General</c:formatCode>
                <c:ptCount val="4"/>
                <c:pt idx="0">
                  <c:v>3225.4658515020001</c:v>
                </c:pt>
                <c:pt idx="1">
                  <c:v>4028.4983809699997</c:v>
                </c:pt>
                <c:pt idx="2">
                  <c:v>6865.1850652089979</c:v>
                </c:pt>
                <c:pt idx="3">
                  <c:v>3517.0050360900004</c:v>
                </c:pt>
              </c:numCache>
            </c:numRef>
          </c:val>
        </c:ser>
        <c:ser>
          <c:idx val="3"/>
          <c:order val="3"/>
          <c:tx>
            <c:strRef>
              <c:f>Summaries!$E$26</c:f>
              <c:strCache>
                <c:ptCount val="1"/>
                <c:pt idx="0">
                  <c:v>LOS D</c:v>
                </c:pt>
              </c:strCache>
            </c:strRef>
          </c:tx>
          <c:spPr>
            <a:solidFill>
              <a:schemeClr val="accent4"/>
            </a:solidFill>
            <a:ln>
              <a:noFill/>
            </a:ln>
            <a:effectLst/>
          </c:spPr>
          <c:invertIfNegative val="0"/>
          <c:cat>
            <c:strRef>
              <c:f>Summaries!$A$27:$A$30</c:f>
              <c:strCache>
                <c:ptCount val="4"/>
                <c:pt idx="0">
                  <c:v>Baseline</c:v>
                </c:pt>
                <c:pt idx="1">
                  <c:v>Skid Row Closure</c:v>
                </c:pt>
                <c:pt idx="2">
                  <c:v>Couplet + Skid Row Closure</c:v>
                </c:pt>
                <c:pt idx="3">
                  <c:v>Reverse Couplet + Skid Row Closure</c:v>
                </c:pt>
              </c:strCache>
            </c:strRef>
          </c:cat>
          <c:val>
            <c:numRef>
              <c:f>Summaries!$E$27:$E$30</c:f>
              <c:numCache>
                <c:formatCode>General</c:formatCode>
                <c:ptCount val="4"/>
                <c:pt idx="0">
                  <c:v>4079.8929342049996</c:v>
                </c:pt>
                <c:pt idx="1">
                  <c:v>3945.5582107519995</c:v>
                </c:pt>
                <c:pt idx="2">
                  <c:v>671.56174572200007</c:v>
                </c:pt>
                <c:pt idx="3">
                  <c:v>2603.7281559180001</c:v>
                </c:pt>
              </c:numCache>
            </c:numRef>
          </c:val>
        </c:ser>
        <c:ser>
          <c:idx val="4"/>
          <c:order val="4"/>
          <c:tx>
            <c:strRef>
              <c:f>Summaries!$F$26</c:f>
              <c:strCache>
                <c:ptCount val="1"/>
                <c:pt idx="0">
                  <c:v>LOS E</c:v>
                </c:pt>
              </c:strCache>
            </c:strRef>
          </c:tx>
          <c:spPr>
            <a:solidFill>
              <a:srgbClr val="FF0000"/>
            </a:solidFill>
            <a:ln>
              <a:noFill/>
            </a:ln>
            <a:effectLst/>
          </c:spPr>
          <c:invertIfNegative val="0"/>
          <c:cat>
            <c:strRef>
              <c:f>Summaries!$A$27:$A$30</c:f>
              <c:strCache>
                <c:ptCount val="4"/>
                <c:pt idx="0">
                  <c:v>Baseline</c:v>
                </c:pt>
                <c:pt idx="1">
                  <c:v>Skid Row Closure</c:v>
                </c:pt>
                <c:pt idx="2">
                  <c:v>Couplet + Skid Row Closure</c:v>
                </c:pt>
                <c:pt idx="3">
                  <c:v>Reverse Couplet + Skid Row Closure</c:v>
                </c:pt>
              </c:strCache>
            </c:strRef>
          </c:cat>
          <c:val>
            <c:numRef>
              <c:f>Summaries!$F$27:$F$30</c:f>
              <c:numCache>
                <c:formatCode>General</c:formatCode>
                <c:ptCount val="4"/>
                <c:pt idx="0">
                  <c:v>619.90135644999998</c:v>
                </c:pt>
                <c:pt idx="1">
                  <c:v>1200.7565940500001</c:v>
                </c:pt>
                <c:pt idx="2">
                  <c:v>4834.8897875370003</c:v>
                </c:pt>
                <c:pt idx="3">
                  <c:v>2667.8173993539999</c:v>
                </c:pt>
              </c:numCache>
            </c:numRef>
          </c:val>
        </c:ser>
        <c:ser>
          <c:idx val="5"/>
          <c:order val="5"/>
          <c:tx>
            <c:strRef>
              <c:f>Summaries!$G$26</c:f>
              <c:strCache>
                <c:ptCount val="1"/>
                <c:pt idx="0">
                  <c:v>LOS F</c:v>
                </c:pt>
              </c:strCache>
            </c:strRef>
          </c:tx>
          <c:spPr>
            <a:solidFill>
              <a:srgbClr val="990000"/>
            </a:solidFill>
            <a:ln>
              <a:noFill/>
            </a:ln>
            <a:effectLst/>
          </c:spPr>
          <c:invertIfNegative val="0"/>
          <c:cat>
            <c:strRef>
              <c:f>Summaries!$A$27:$A$30</c:f>
              <c:strCache>
                <c:ptCount val="4"/>
                <c:pt idx="0">
                  <c:v>Baseline</c:v>
                </c:pt>
                <c:pt idx="1">
                  <c:v>Skid Row Closure</c:v>
                </c:pt>
                <c:pt idx="2">
                  <c:v>Couplet + Skid Row Closure</c:v>
                </c:pt>
                <c:pt idx="3">
                  <c:v>Reverse Couplet + Skid Row Closure</c:v>
                </c:pt>
              </c:strCache>
            </c:strRef>
          </c:cat>
          <c:val>
            <c:numRef>
              <c:f>Summaries!$G$27:$G$30</c:f>
              <c:numCache>
                <c:formatCode>General</c:formatCode>
                <c:ptCount val="4"/>
                <c:pt idx="0">
                  <c:v>16316.976158642001</c:v>
                </c:pt>
                <c:pt idx="1">
                  <c:v>15880.921550808001</c:v>
                </c:pt>
                <c:pt idx="2">
                  <c:v>13209.384693755001</c:v>
                </c:pt>
                <c:pt idx="3">
                  <c:v>16404.468710802001</c:v>
                </c:pt>
              </c:numCache>
            </c:numRef>
          </c:val>
        </c:ser>
        <c:dLbls>
          <c:showLegendKey val="0"/>
          <c:showVal val="0"/>
          <c:showCatName val="0"/>
          <c:showSerName val="0"/>
          <c:showPercent val="0"/>
          <c:showBubbleSize val="0"/>
        </c:dLbls>
        <c:gapWidth val="150"/>
        <c:overlap val="100"/>
        <c:axId val="548258904"/>
        <c:axId val="548257728"/>
      </c:barChart>
      <c:catAx>
        <c:axId val="5482589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257728"/>
        <c:crosses val="autoZero"/>
        <c:auto val="1"/>
        <c:lblAlgn val="ctr"/>
        <c:lblOffset val="100"/>
        <c:noMultiLvlLbl val="0"/>
      </c:catAx>
      <c:valAx>
        <c:axId val="548257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258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Metro</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Saavedra</dc:creator>
  <cp:keywords/>
  <dc:description/>
  <cp:lastModifiedBy>Kevin Saavedra</cp:lastModifiedBy>
  <cp:revision>32</cp:revision>
  <dcterms:created xsi:type="dcterms:W3CDTF">2018-05-29T20:23:00Z</dcterms:created>
  <dcterms:modified xsi:type="dcterms:W3CDTF">2018-06-08T21:04:00Z</dcterms:modified>
</cp:coreProperties>
</file>