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B7791F"/>
          <w:sz w:val="22"/>
        </w:rPr>
        <w:t>Wolffish Cloud  ·  Kingdom of Saudi Arabia</w:t>
      </w:r>
    </w:p>
    <w:p>
      <w:pPr>
        <w:spacing w:before="0" w:after="80"/>
      </w:pPr>
      <w:r>
        <w:rPr>
          <w:rFonts w:ascii="Arial" w:hAnsi="Arial"/>
          <w:b/>
          <w:i w:val="0"/>
          <w:color w:val="1F2A44"/>
          <w:sz w:val="40"/>
        </w:rPr>
        <w:t>Go-To-Market Library, Folder Index</w:t>
      </w:r>
    </w:p>
    <w:p>
      <w:pPr>
        <w:spacing w:before="0" w:after="240"/>
      </w:pPr>
      <w:r>
        <w:rPr>
          <w:rFonts w:ascii="Arial" w:hAnsi="Arial"/>
          <w:b w:val="0"/>
          <w:i/>
          <w:color w:val="555555"/>
          <w:sz w:val="19"/>
        </w:rPr>
        <w:t>Ten deliverables covering the complete go-to-market for Wolffish Cloud in the Kingdom. Version 1.0, 4 September 2026. Read the standing caveats first: four of them change what the numbers in these documents mean, and the fifth changes whether they can be trusted yet.</w:t>
      </w:r>
    </w:p>
    <w:p>
      <w:pPr>
        <w:spacing w:before="320" w:after="80"/>
      </w:pPr>
      <w:r>
        <w:rPr>
          <w:rFonts w:ascii="Arial" w:hAnsi="Arial"/>
          <w:b/>
          <w:i w:val="0"/>
          <w:color w:val="1F2A44"/>
          <w:sz w:val="30"/>
        </w:rPr>
        <w:t>Standing Caveats</w:t>
      </w:r>
    </w:p>
    <w:p>
      <w:pPr>
        <w:spacing w:before="0" w:after="160"/>
      </w:pPr>
      <w:r>
        <w:rPr>
          <w:rFonts w:ascii="Arial" w:hAnsi="Arial"/>
          <w:b w:val="0"/>
          <w:i/>
          <w:color w:val="666666"/>
          <w:sz w:val="17"/>
        </w:rPr>
        <w:t>These five apply to every document in this library. Four of them change what the numbers mean, and the fifth changes whether they can be trusted yet.</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C1 · Not SaaS</w:t>
            </w:r>
          </w:p>
        </w:tc>
        <w:tc>
          <w:tcPr>
            <w:tcW w:type="dxa" w:w="6624"/>
          </w:tcPr>
          <w:p>
            <w:pPr>
              <w:spacing w:before="40" w:after="40"/>
            </w:pPr>
            <w:r/>
            <w:r>
              <w:rPr>
                <w:rFonts w:ascii="Arial" w:hAnsi="Arial"/>
                <w:b w:val="0"/>
                <w:i w:val="0"/>
                <w:sz w:val="20"/>
              </w:rPr>
              <w:t>Wolffish is three stacked products, not one: an agentic harness on the employee's own machine, a platform control plane, and a cloud service engagement. A fourth layer, Saudi regulatory and commercial fit, has no equivalent in a generic B2B SaaS framework. Every feature, benefit, score and price in this library is tagged to a layer, and scores are never averaged across layers.</w:t>
            </w:r>
          </w:p>
        </w:tc>
      </w:tr>
      <w:tr>
        <w:tc>
          <w:tcPr>
            <w:tcW w:type="dxa" w:w="3312"/>
            <w:shd w:val="clear" w:color="auto" w:fill="EAEEF5"/>
          </w:tcPr>
          <w:p>
            <w:pPr>
              <w:spacing w:before="40" w:after="40"/>
            </w:pPr>
            <w:r/>
            <w:r>
              <w:rPr>
                <w:rFonts w:ascii="Arial" w:hAnsi="Arial"/>
                <w:b/>
                <w:i w:val="0"/>
                <w:color w:val="1F2A44"/>
                <w:sz w:val="20"/>
              </w:rPr>
              <w:t>C2 · No self-serve motion</w:t>
            </w:r>
          </w:p>
        </w:tc>
        <w:tc>
          <w:tcPr>
            <w:tcW w:type="dxa" w:w="6624"/>
          </w:tcPr>
          <w:p>
            <w:pPr>
              <w:spacing w:before="40" w:after="40"/>
            </w:pPr>
            <w:r/>
            <w:r>
              <w:rPr>
                <w:rFonts w:ascii="Arial" w:hAnsi="Arial"/>
                <w:b w:val="0"/>
                <w:i w:val="0"/>
                <w:sz w:val="20"/>
              </w:rPr>
              <w:t>SAR 60,000 at signature, a twelve-month term and quarterly prepay make this a committee purchase from the first meeting. There is no free tier, no trial, no product-qualified lead and no self-serve upgrade path. Any metric that would assume one is marked 'n/a, not a self-serve product' rather than invented.</w:t>
            </w:r>
          </w:p>
        </w:tc>
      </w:tr>
      <w:tr>
        <w:tc>
          <w:tcPr>
            <w:tcW w:type="dxa" w:w="3312"/>
            <w:shd w:val="clear" w:color="auto" w:fill="EAEEF5"/>
          </w:tcPr>
          <w:p>
            <w:pPr>
              <w:spacing w:before="40" w:after="40"/>
            </w:pPr>
            <w:r/>
            <w:r>
              <w:rPr>
                <w:rFonts w:ascii="Arial" w:hAnsi="Arial"/>
                <w:b/>
                <w:i w:val="0"/>
                <w:color w:val="1F2A44"/>
                <w:sz w:val="20"/>
              </w:rPr>
              <w:t>C3 · Two of three price lines are not Wolffish revenue</w:t>
            </w:r>
          </w:p>
        </w:tc>
        <w:tc>
          <w:tcPr>
            <w:tcW w:type="dxa" w:w="6624"/>
          </w:tcPr>
          <w:p>
            <w:pPr>
              <w:spacing w:before="40" w:after="40"/>
            </w:pPr>
            <w:r/>
            <w:r>
              <w:rPr>
                <w:rFonts w:ascii="Arial" w:hAnsi="Arial"/>
                <w:b w:val="0"/>
                <w:i w:val="0"/>
                <w:sz w:val="20"/>
              </w:rPr>
              <w:t>Landed cost is SAR 124 to 184 per employee per month. Wolffish revenue is SAR 79 of it. Inference and infrastructure are billed by the customer's own providers, directly to the customer, at zero Wolffish margin. Every comparison in this library is stated as landed cost on both sides.</w:t>
            </w:r>
          </w:p>
        </w:tc>
      </w:tr>
      <w:tr>
        <w:tc>
          <w:tcPr>
            <w:tcW w:type="dxa" w:w="3312"/>
            <w:shd w:val="clear" w:color="auto" w:fill="EAEEF5"/>
          </w:tcPr>
          <w:p>
            <w:pPr>
              <w:spacing w:before="40" w:after="40"/>
            </w:pPr>
            <w:r/>
            <w:r>
              <w:rPr>
                <w:rFonts w:ascii="Arial" w:hAnsi="Arial"/>
                <w:b/>
                <w:i w:val="0"/>
                <w:color w:val="1F2A44"/>
                <w:sz w:val="20"/>
              </w:rPr>
              <w:t>C4 · Kingdom of Saudi Arabia only</w:t>
            </w:r>
          </w:p>
        </w:tc>
        <w:tc>
          <w:tcPr>
            <w:tcW w:type="dxa" w:w="6624"/>
          </w:tcPr>
          <w:p>
            <w:pPr>
              <w:spacing w:before="40" w:after="40"/>
            </w:pPr>
            <w:r/>
            <w:r>
              <w:rPr>
                <w:rFonts w:ascii="Arial" w:hAnsi="Arial"/>
                <w:b w:val="0"/>
                <w:i w:val="0"/>
                <w:sz w:val="20"/>
              </w:rPr>
              <w:t>Every ICP, persona, channel, price point, asset and KPI here is scoped to the Kingdom. G2, Capterra and Trustpilot carry almost no Saudi buyer signal and were used only for global product-quality themes; every Saudi-specific claim is sourced to a Saudi regulatory instrument, procurement rule or market report. This library does not travel to the wider GCC or globally without re-running the ICP, journey and assets work.</w:t>
            </w:r>
          </w:p>
        </w:tc>
      </w:tr>
      <w:tr>
        <w:tc>
          <w:tcPr>
            <w:tcW w:type="dxa" w:w="3312"/>
            <w:shd w:val="clear" w:color="auto" w:fill="EAEEF5"/>
          </w:tcPr>
          <w:p>
            <w:pPr>
              <w:spacing w:before="40" w:after="40"/>
            </w:pPr>
            <w:r/>
            <w:r>
              <w:rPr>
                <w:rFonts w:ascii="Arial" w:hAnsi="Arial"/>
                <w:b/>
                <w:i w:val="0"/>
                <w:color w:val="1F2A44"/>
                <w:sz w:val="20"/>
              </w:rPr>
              <w:t>C5 · Offer metrics are self-rated and unreconciled</w:t>
            </w:r>
          </w:p>
        </w:tc>
        <w:tc>
          <w:tcPr>
            <w:tcW w:type="dxa" w:w="6624"/>
          </w:tcPr>
          <w:p>
            <w:pPr>
              <w:spacing w:before="40" w:after="40"/>
            </w:pPr>
            <w:r/>
            <w:r>
              <w:rPr>
                <w:rFonts w:ascii="Arial" w:hAnsi="Arial"/>
                <w:b w:val="0"/>
                <w:i w:val="0"/>
                <w:sz w:val="20"/>
              </w:rPr>
              <w:t>The source Service and Offer Matrix contains two self-rated blocks by two people describing two different companies, and the second block carries its own 'not a live product audit' warning. Six findings are open, including one uncapped commitment that is the largest margin risk in the model. Nothing downstream is validated until those are reconciled on the review call.</w:t>
            </w:r>
          </w:p>
        </w:tc>
      </w:tr>
    </w:tbl>
    <w:p>
      <w:pPr>
        <w:spacing w:before="320" w:after="80"/>
      </w:pPr>
      <w:r>
        <w:rPr>
          <w:rFonts w:ascii="Arial" w:hAnsi="Arial"/>
          <w:b/>
          <w:i w:val="0"/>
          <w:color w:val="1F2A44"/>
          <w:sz w:val="30"/>
        </w:rPr>
        <w:t>What is in the folder</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F2A44"/>
          </w:tcPr>
          <w:p>
            <w:pPr>
              <w:spacing w:before="40" w:after="40"/>
            </w:pPr>
            <w:r/>
            <w:r>
              <w:rPr>
                <w:rFonts w:ascii="Arial" w:hAnsi="Arial"/>
                <w:b/>
                <w:i w:val="0"/>
                <w:color w:val="FFFFFF"/>
                <w:sz w:val="20"/>
              </w:rPr>
              <w:t>Document</w:t>
            </w:r>
          </w:p>
        </w:tc>
        <w:tc>
          <w:tcPr>
            <w:tcW w:type="dxa" w:w="1152"/>
            <w:shd w:val="clear" w:color="auto" w:fill="1F2A44"/>
          </w:tcPr>
          <w:p>
            <w:pPr>
              <w:spacing w:before="40" w:after="40"/>
            </w:pPr>
            <w:r/>
            <w:r>
              <w:rPr>
                <w:rFonts w:ascii="Arial" w:hAnsi="Arial"/>
                <w:b/>
                <w:i w:val="0"/>
                <w:color w:val="FFFFFF"/>
                <w:sz w:val="20"/>
              </w:rPr>
              <w:t>Format</w:t>
            </w:r>
          </w:p>
        </w:tc>
        <w:tc>
          <w:tcPr>
            <w:tcW w:type="dxa" w:w="5616"/>
            <w:shd w:val="clear" w:color="auto" w:fill="1F2A44"/>
          </w:tcPr>
          <w:p>
            <w:pPr>
              <w:spacing w:before="40" w:after="40"/>
            </w:pPr>
            <w:r/>
            <w:r>
              <w:rPr>
                <w:rFonts w:ascii="Arial" w:hAnsi="Arial"/>
                <w:b/>
                <w:i w:val="0"/>
                <w:color w:val="FFFFFF"/>
                <w:sz w:val="20"/>
              </w:rPr>
              <w:t>What it contains</w:t>
            </w:r>
          </w:p>
        </w:tc>
      </w:tr>
      <w:tr>
        <w:tc>
          <w:tcPr>
            <w:tcW w:type="dxa" w:w="3312"/>
            <w:shd w:val="clear" w:color="auto" w:fill="EAEEF5"/>
          </w:tcPr>
          <w:p>
            <w:pPr>
              <w:spacing w:before="40" w:after="40"/>
            </w:pPr>
            <w:r/>
            <w:r>
              <w:rPr>
                <w:rFonts w:ascii="Arial" w:hAnsi="Arial"/>
                <w:b/>
                <w:i w:val="0"/>
                <w:color w:val="1F2A44"/>
                <w:sz w:val="20"/>
              </w:rPr>
              <w:t>Wolffish_ICP_Dashboard</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Two ICP levels with eleven Saudi-specific attributes; the three classic buying-committee personas plus four Saudi-specific ones the standard model omits; the committee choreography; the design partner profile; an anti-ICP with nine decline criteria; a twenty-account named target map; and the seat economics that set the qualification floor.</w:t>
            </w:r>
          </w:p>
        </w:tc>
      </w:tr>
      <w:tr>
        <w:tc>
          <w:tcPr>
            <w:tcW w:type="dxa" w:w="3312"/>
            <w:shd w:val="clear" w:color="auto" w:fill="EAEEF5"/>
          </w:tcPr>
          <w:p>
            <w:pPr>
              <w:spacing w:before="40" w:after="40"/>
            </w:pPr>
            <w:r/>
            <w:r>
              <w:rPr>
                <w:rFonts w:ascii="Arial" w:hAnsi="Arial"/>
                <w:b/>
                <w:i w:val="0"/>
                <w:color w:val="1F2A44"/>
                <w:sz w:val="20"/>
              </w:rPr>
              <w:t>Wolffish_Competitive_Market_Analysis</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Seven competitors selected for who appears on a Saudi shortlist rather than who ranks in a global category. Company summaries, strengths, weaknesses and opportunity areas; five positioning vectors; an eighteen-capability presence grid; benefit potency scoring; competitive advantages; and the positioning summary.</w:t>
            </w:r>
          </w:p>
        </w:tc>
      </w:tr>
      <w:tr>
        <w:tc>
          <w:tcPr>
            <w:tcW w:type="dxa" w:w="3312"/>
            <w:shd w:val="clear" w:color="auto" w:fill="EAEEF5"/>
          </w:tcPr>
          <w:p>
            <w:pPr>
              <w:spacing w:before="40" w:after="40"/>
            </w:pPr>
            <w:r/>
            <w:r>
              <w:rPr>
                <w:rFonts w:ascii="Arial" w:hAnsi="Arial"/>
                <w:b/>
                <w:i w:val="0"/>
                <w:color w:val="1F2A44"/>
                <w:sz w:val="20"/>
              </w:rPr>
              <w:t>Wolffish_Customer_Journey_Funnel</w:t>
            </w:r>
          </w:p>
        </w:tc>
        <w:tc>
          <w:tcPr>
            <w:tcW w:type="dxa" w:w="1152"/>
          </w:tcPr>
          <w:p>
            <w:pPr>
              <w:spacing w:before="40" w:after="40"/>
            </w:pPr>
            <w:r/>
            <w:r>
              <w:rPr>
                <w:rFonts w:ascii="Arial" w:hAnsi="Arial"/>
                <w:b w:val="0"/>
                <w:i w:val="0"/>
                <w:sz w:val="20"/>
              </w:rPr>
              <w:t>XLSX, 3 sheets</w:t>
            </w:r>
          </w:p>
        </w:tc>
        <w:tc>
          <w:tcPr>
            <w:tcW w:type="dxa" w:w="5616"/>
          </w:tcPr>
          <w:p>
            <w:pPr>
              <w:spacing w:before="40" w:after="40"/>
            </w:pPr>
            <w:r/>
            <w:r>
              <w:rPr>
                <w:rFonts w:ascii="Arial" w:hAnsi="Arial"/>
                <w:b w:val="0"/>
                <w:i w:val="0"/>
                <w:sz w:val="20"/>
              </w:rPr>
              <w:t>Seven-stage funnels for ICP-1 and ICP-2 with the security call moved from stage three to stage two, plus a cross-funnel comparison and the dependencies that make the two funnels feed each other. Stage durations are mapped to the Saudi selling calendar.</w:t>
            </w:r>
          </w:p>
        </w:tc>
      </w:tr>
      <w:tr>
        <w:tc>
          <w:tcPr>
            <w:tcW w:type="dxa" w:w="3312"/>
            <w:shd w:val="clear" w:color="auto" w:fill="EAEEF5"/>
          </w:tcPr>
          <w:p>
            <w:pPr>
              <w:spacing w:before="40" w:after="40"/>
            </w:pPr>
            <w:r/>
            <w:r>
              <w:rPr>
                <w:rFonts w:ascii="Arial" w:hAnsi="Arial"/>
                <w:b/>
                <w:i w:val="0"/>
                <w:color w:val="1F2A44"/>
                <w:sz w:val="20"/>
              </w:rPr>
              <w:t>Wolffish_Value_Proposition_Framework</w:t>
            </w:r>
          </w:p>
        </w:tc>
        <w:tc>
          <w:tcPr>
            <w:tcW w:type="dxa" w:w="1152"/>
          </w:tcPr>
          <w:p>
            <w:pPr>
              <w:spacing w:before="40" w:after="40"/>
            </w:pPr>
            <w:r/>
            <w:r>
              <w:rPr>
                <w:rFonts w:ascii="Arial" w:hAnsi="Arial"/>
                <w:b w:val="0"/>
                <w:i w:val="0"/>
                <w:sz w:val="20"/>
              </w:rPr>
              <w:t>DOCX</w:t>
            </w:r>
          </w:p>
        </w:tc>
        <w:tc>
          <w:tcPr>
            <w:tcW w:type="dxa" w:w="5616"/>
          </w:tcPr>
          <w:p>
            <w:pPr>
              <w:spacing w:before="40" w:after="40"/>
            </w:pPr>
            <w:r/>
            <w:r>
              <w:rPr>
                <w:rFonts w:ascii="Arial" w:hAnsi="Arial"/>
                <w:b w:val="0"/>
                <w:i w:val="0"/>
                <w:sz w:val="20"/>
              </w:rPr>
              <w:t>Brand promise and positioning, three value proposition pillars with three reasons to believe each, nine bilingual copy drills with three headline registers and two copy tiers, five claims to confirm before the copy ships, and the copy usage rules for the Kingdom.</w:t>
            </w:r>
          </w:p>
        </w:tc>
      </w:tr>
      <w:tr>
        <w:tc>
          <w:tcPr>
            <w:tcW w:type="dxa" w:w="3312"/>
            <w:shd w:val="clear" w:color="auto" w:fill="EAEEF5"/>
          </w:tcPr>
          <w:p>
            <w:pPr>
              <w:spacing w:before="40" w:after="40"/>
            </w:pPr>
            <w:r/>
            <w:r>
              <w:rPr>
                <w:rFonts w:ascii="Arial" w:hAnsi="Arial"/>
                <w:b/>
                <w:i w:val="0"/>
                <w:color w:val="1F2A44"/>
                <w:sz w:val="20"/>
              </w:rPr>
              <w:t>Wolffish_Positioning_Framework</w:t>
            </w:r>
          </w:p>
        </w:tc>
        <w:tc>
          <w:tcPr>
            <w:tcW w:type="dxa" w:w="1152"/>
          </w:tcPr>
          <w:p>
            <w:pPr>
              <w:spacing w:before="40" w:after="40"/>
            </w:pPr>
            <w:r/>
            <w:r>
              <w:rPr>
                <w:rFonts w:ascii="Arial" w:hAnsi="Arial"/>
                <w:b w:val="0"/>
                <w:i w:val="0"/>
                <w:sz w:val="20"/>
              </w:rPr>
              <w:t>DOCX</w:t>
            </w:r>
          </w:p>
        </w:tc>
        <w:tc>
          <w:tcPr>
            <w:tcW w:type="dxa" w:w="5616"/>
          </w:tcPr>
          <w:p>
            <w:pPr>
              <w:spacing w:before="40" w:after="40"/>
            </w:pPr>
            <w:r/>
            <w:r>
              <w:rPr>
                <w:rFonts w:ascii="Arial" w:hAnsi="Arial"/>
                <w:b w:val="0"/>
                <w:i w:val="0"/>
                <w:sz w:val="20"/>
              </w:rPr>
              <w:t>The category claim in English and Arabic, six positioning statements written to be said to a committee, the message hierarchy ordered by who is in the room, the disqualifier list that makes the rest believable, and nine Saudi-specific objection reversals.</w:t>
            </w:r>
          </w:p>
        </w:tc>
      </w:tr>
      <w:tr>
        <w:tc>
          <w:tcPr>
            <w:tcW w:type="dxa" w:w="3312"/>
            <w:shd w:val="clear" w:color="auto" w:fill="EAEEF5"/>
          </w:tcPr>
          <w:p>
            <w:pPr>
              <w:spacing w:before="40" w:after="40"/>
            </w:pPr>
            <w:r/>
            <w:r>
              <w:rPr>
                <w:rFonts w:ascii="Arial" w:hAnsi="Arial"/>
                <w:b/>
                <w:i w:val="0"/>
                <w:color w:val="1F2A44"/>
                <w:sz w:val="20"/>
              </w:rPr>
              <w:t>Wolffish_Marketing_Assets_Library</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Seven Saudi channels with full-funnel assets, specifications and QA criteria; three channels explicitly not built and the reasoning; and a ninety-day build sequence ordered by yield per week of founder time.</w:t>
            </w:r>
          </w:p>
        </w:tc>
      </w:tr>
      <w:tr>
        <w:tc>
          <w:tcPr>
            <w:tcW w:type="dxa" w:w="3312"/>
            <w:shd w:val="clear" w:color="auto" w:fill="EAEEF5"/>
          </w:tcPr>
          <w:p>
            <w:pPr>
              <w:spacing w:before="40" w:after="40"/>
            </w:pPr>
            <w:r/>
            <w:r>
              <w:rPr>
                <w:rFonts w:ascii="Arial" w:hAnsi="Arial"/>
                <w:b/>
                <w:i w:val="0"/>
                <w:color w:val="1F2A44"/>
                <w:sz w:val="20"/>
              </w:rPr>
              <w:t>Wolffish_Product_Feature_Matrix</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Thirty-six features across four layers, scored on demand and competitiveness, assigned to quadrants, with four validation violations caught and corrected. Plus the demand driver and its six variants.</w:t>
            </w:r>
          </w:p>
        </w:tc>
      </w:tr>
      <w:tr>
        <w:tc>
          <w:tcPr>
            <w:tcW w:type="dxa" w:w="3312"/>
            <w:shd w:val="clear" w:color="auto" w:fill="EAEEF5"/>
          </w:tcPr>
          <w:p>
            <w:pPr>
              <w:spacing w:before="40" w:after="40"/>
            </w:pPr>
            <w:r/>
            <w:r>
              <w:rPr>
                <w:rFonts w:ascii="Arial" w:hAnsi="Arial"/>
                <w:b/>
                <w:i w:val="0"/>
                <w:color w:val="1F2A44"/>
                <w:sz w:val="20"/>
              </w:rPr>
              <w:t>Wolffish_Pricing_and_Packaging</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Value metric selection, the three-tier deployment scope ladder, the platform seat, the pass-through lines, landed cost by headcount, the capability allowance, Saudi commercial mechanics, and three ROI anchors.</w:t>
            </w:r>
          </w:p>
        </w:tc>
      </w:tr>
      <w:tr>
        <w:tc>
          <w:tcPr>
            <w:tcW w:type="dxa" w:w="3312"/>
            <w:shd w:val="clear" w:color="auto" w:fill="EAEEF5"/>
          </w:tcPr>
          <w:p>
            <w:pPr>
              <w:spacing w:before="40" w:after="40"/>
            </w:pPr>
            <w:r/>
            <w:r>
              <w:rPr>
                <w:rFonts w:ascii="Arial" w:hAnsi="Arial"/>
                <w:b/>
                <w:i w:val="0"/>
                <w:color w:val="1F2A44"/>
                <w:sz w:val="20"/>
              </w:rPr>
              <w:t>Wolffish_Lead_Magnet_Scorecard_Spec</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The Kingdom AI Exposure Scorecard: twelve bilingual questions across two scored dimensions, three result tiers, a seven-step follow-up sequence built around Saudi timing rules, and ScoreApp implementation notes.</w:t>
            </w:r>
          </w:p>
        </w:tc>
      </w:tr>
      <w:tr>
        <w:tc>
          <w:tcPr>
            <w:tcW w:type="dxa" w:w="3312"/>
            <w:shd w:val="clear" w:color="auto" w:fill="EAEEF5"/>
          </w:tcPr>
          <w:p>
            <w:pPr>
              <w:spacing w:before="40" w:after="40"/>
            </w:pPr>
            <w:r/>
            <w:r>
              <w:rPr>
                <w:rFonts w:ascii="Arial" w:hAnsi="Arial"/>
                <w:b/>
                <w:i w:val="0"/>
                <w:color w:val="1F2A44"/>
                <w:sz w:val="20"/>
              </w:rPr>
              <w:t>Wolffish_Offer_Metrics_Audit</w:t>
            </w:r>
          </w:p>
        </w:tc>
        <w:tc>
          <w:tcPr>
            <w:tcW w:type="dxa" w:w="1152"/>
          </w:tcPr>
          <w:p>
            <w:pPr>
              <w:spacing w:before="40" w:after="40"/>
            </w:pPr>
            <w:r/>
            <w:r>
              <w:rPr>
                <w:rFonts w:ascii="Arial" w:hAnsi="Arial"/>
                <w:b w:val="0"/>
                <w:i w:val="0"/>
                <w:sz w:val="20"/>
              </w:rPr>
              <w:t>XLSX</w:t>
            </w:r>
          </w:p>
        </w:tc>
        <w:tc>
          <w:tcPr>
            <w:tcW w:type="dxa" w:w="5616"/>
          </w:tcPr>
          <w:p>
            <w:pPr>
              <w:spacing w:before="40" w:after="40"/>
            </w:pPr>
            <w:r/>
            <w:r>
              <w:rPr>
                <w:rFonts w:ascii="Arial" w:hAnsi="Arial"/>
                <w:b w:val="0"/>
                <w:i w:val="0"/>
                <w:sz w:val="20"/>
              </w:rPr>
              <w:t>Six findings against the source Service and Offer Matrix, the corrected matrix this library runs on, and six open actions for the review call. Read this before trusting anything downstream.</w:t>
            </w:r>
          </w:p>
        </w:tc>
      </w:tr>
    </w:tbl>
    <w:p>
      <w:pPr>
        <w:spacing w:before="320" w:after="80"/>
      </w:pPr>
      <w:r>
        <w:rPr>
          <w:rFonts w:ascii="Arial" w:hAnsi="Arial"/>
          <w:b/>
          <w:i w:val="0"/>
          <w:color w:val="1F2A44"/>
          <w:sz w:val="30"/>
        </w:rPr>
        <w:t>Reading order</w:t>
      </w:r>
    </w:p>
    <w:p>
      <w:pPr>
        <w:spacing w:before="0" w:after="160"/>
      </w:pPr>
      <w:r>
        <w:rPr>
          <w:rFonts w:ascii="Arial" w:hAnsi="Arial"/>
          <w:b w:val="0"/>
          <w:i/>
          <w:color w:val="666666"/>
          <w:sz w:val="17"/>
        </w:rPr>
        <w:t>The library is written to be read in this sequence. Each document assumes the one above it.</w:t>
      </w:r>
    </w:p>
    <w:p>
      <w:pPr>
        <w:pStyle w:val="ListNumber"/>
        <w:spacing w:after="80"/>
      </w:pPr>
      <w:r>
        <w:rPr>
          <w:rFonts w:ascii="Arial" w:hAnsi="Arial"/>
          <w:b/>
          <w:color w:val="1F2A44"/>
          <w:sz w:val="20"/>
        </w:rPr>
        <w:t xml:space="preserve">Offer Metrics Audit. </w:t>
      </w:r>
      <w:r>
        <w:rPr>
          <w:rFonts w:ascii="Arial" w:hAnsi="Arial"/>
          <w:sz w:val="20"/>
        </w:rPr>
        <w:t>Establishes what is actually being sold, and what in the source material cannot yet be trusted. Six open actions are unresolved, and two of them change the pricing.</w:t>
      </w:r>
    </w:p>
    <w:p>
      <w:pPr>
        <w:pStyle w:val="ListNumber"/>
        <w:spacing w:after="80"/>
      </w:pPr>
      <w:r>
        <w:rPr>
          <w:rFonts w:ascii="Arial" w:hAnsi="Arial"/>
          <w:b/>
          <w:color w:val="1F2A44"/>
          <w:sz w:val="20"/>
        </w:rPr>
        <w:t xml:space="preserve">Product Feature Matrix. </w:t>
      </w:r>
      <w:r>
        <w:rPr>
          <w:rFonts w:ascii="Arial" w:hAnsi="Arial"/>
          <w:sz w:val="20"/>
        </w:rPr>
        <w:t>Establishes the four-layer structure that every other document uses, and identifies the demand driver.</w:t>
      </w:r>
    </w:p>
    <w:p>
      <w:pPr>
        <w:pStyle w:val="ListNumber"/>
        <w:spacing w:after="80"/>
      </w:pPr>
      <w:r>
        <w:rPr>
          <w:rFonts w:ascii="Arial" w:hAnsi="Arial"/>
          <w:b/>
          <w:color w:val="1F2A44"/>
          <w:sz w:val="20"/>
        </w:rPr>
        <w:t xml:space="preserve">Competitive Market Analysis. </w:t>
      </w:r>
      <w:r>
        <w:rPr>
          <w:rFonts w:ascii="Arial" w:hAnsi="Arial"/>
          <w:sz w:val="20"/>
        </w:rPr>
        <w:t>Establishes who is actually in the room and which two of five positioning vectors Wolffish can win.</w:t>
      </w:r>
    </w:p>
    <w:p>
      <w:pPr>
        <w:pStyle w:val="ListNumber"/>
        <w:spacing w:after="80"/>
      </w:pPr>
      <w:r>
        <w:rPr>
          <w:rFonts w:ascii="Arial" w:hAnsi="Arial"/>
          <w:b/>
          <w:color w:val="1F2A44"/>
          <w:sz w:val="20"/>
        </w:rPr>
        <w:t xml:space="preserve">Positioning Framework. </w:t>
      </w:r>
      <w:r>
        <w:rPr>
          <w:rFonts w:ascii="Arial" w:hAnsi="Arial"/>
          <w:sz w:val="20"/>
        </w:rPr>
        <w:t>Turns the two winning vectors into six statements that can be said out loud to a committee.</w:t>
      </w:r>
    </w:p>
    <w:p>
      <w:pPr>
        <w:pStyle w:val="ListNumber"/>
        <w:spacing w:after="80"/>
      </w:pPr>
      <w:r>
        <w:rPr>
          <w:rFonts w:ascii="Arial" w:hAnsi="Arial"/>
          <w:b/>
          <w:color w:val="1F2A44"/>
          <w:sz w:val="20"/>
        </w:rPr>
        <w:t xml:space="preserve">ICP Dashboard. </w:t>
      </w:r>
      <w:r>
        <w:rPr>
          <w:rFonts w:ascii="Arial" w:hAnsi="Arial"/>
          <w:sz w:val="20"/>
        </w:rPr>
        <w:t>Names who to sell to, who to decline, and which twenty accounts the year's four to six delivery slots should go to.</w:t>
      </w:r>
    </w:p>
    <w:p>
      <w:pPr>
        <w:pStyle w:val="ListNumber"/>
        <w:spacing w:after="80"/>
      </w:pPr>
      <w:r>
        <w:rPr>
          <w:rFonts w:ascii="Arial" w:hAnsi="Arial"/>
          <w:b/>
          <w:color w:val="1F2A44"/>
          <w:sz w:val="20"/>
        </w:rPr>
        <w:t xml:space="preserve">Value Proposition Framework. </w:t>
      </w:r>
      <w:r>
        <w:rPr>
          <w:rFonts w:ascii="Arial" w:hAnsi="Arial"/>
          <w:sz w:val="20"/>
        </w:rPr>
        <w:t>Turns the positioning into bilingual copy, with the claims that are not yet safe to ship flagged.</w:t>
      </w:r>
    </w:p>
    <w:p>
      <w:pPr>
        <w:pStyle w:val="ListNumber"/>
        <w:spacing w:after="80"/>
      </w:pPr>
      <w:r>
        <w:rPr>
          <w:rFonts w:ascii="Arial" w:hAnsi="Arial"/>
          <w:b/>
          <w:color w:val="1F2A44"/>
          <w:sz w:val="20"/>
        </w:rPr>
        <w:t xml:space="preserve">Customer Journey Funnel. </w:t>
      </w:r>
      <w:r>
        <w:rPr>
          <w:rFonts w:ascii="Arial" w:hAnsi="Arial"/>
          <w:sz w:val="20"/>
        </w:rPr>
        <w:t>Sequences the whole motion against a Saudi calendar with twenty-five sellable weeks, not forty-eight.</w:t>
      </w:r>
    </w:p>
    <w:p>
      <w:pPr>
        <w:pStyle w:val="ListNumber"/>
        <w:spacing w:after="80"/>
      </w:pPr>
      <w:r>
        <w:rPr>
          <w:rFonts w:ascii="Arial" w:hAnsi="Arial"/>
          <w:b/>
          <w:color w:val="1F2A44"/>
          <w:sz w:val="20"/>
        </w:rPr>
        <w:t xml:space="preserve">Marketing Assets Library. </w:t>
      </w:r>
      <w:r>
        <w:rPr>
          <w:rFonts w:ascii="Arial" w:hAnsi="Arial"/>
          <w:sz w:val="20"/>
        </w:rPr>
        <w:t>Names every asset the journey needs, in build order, against a deadline eleven days out.</w:t>
      </w:r>
    </w:p>
    <w:p>
      <w:pPr>
        <w:pStyle w:val="ListNumber"/>
        <w:spacing w:after="80"/>
      </w:pPr>
      <w:r>
        <w:rPr>
          <w:rFonts w:ascii="Arial" w:hAnsi="Arial"/>
          <w:b/>
          <w:color w:val="1F2A44"/>
          <w:sz w:val="20"/>
        </w:rPr>
        <w:t xml:space="preserve">Lead Magnet Scorecard Spec. </w:t>
      </w:r>
      <w:r>
        <w:rPr>
          <w:rFonts w:ascii="Arial" w:hAnsi="Arial"/>
          <w:sz w:val="20"/>
        </w:rPr>
        <w:t>The one asset in the library that scales without founder time. Build it first.</w:t>
      </w:r>
    </w:p>
    <w:p>
      <w:pPr>
        <w:pStyle w:val="ListNumber"/>
        <w:spacing w:after="80"/>
      </w:pPr>
      <w:r>
        <w:rPr>
          <w:rFonts w:ascii="Arial" w:hAnsi="Arial"/>
          <w:b/>
          <w:color w:val="1F2A44"/>
          <w:sz w:val="20"/>
        </w:rPr>
        <w:t xml:space="preserve">Pricing and Packaging. </w:t>
      </w:r>
      <w:r>
        <w:rPr>
          <w:rFonts w:ascii="Arial" w:hAnsi="Arial"/>
          <w:sz w:val="20"/>
        </w:rPr>
        <w:t>The commercial model, including the two corrections that do not yet exist in any Wolffish contract.</w:t>
      </w:r>
    </w:p>
    <w:p>
      <w:pPr>
        <w:spacing w:before="320" w:after="80"/>
      </w:pPr>
      <w:r>
        <w:rPr>
          <w:rFonts w:ascii="Arial" w:hAnsi="Arial"/>
          <w:b/>
          <w:i w:val="0"/>
          <w:color w:val="1F2A44"/>
          <w:sz w:val="30"/>
        </w:rPr>
        <w:t>The five numbers that shape everything</w:t>
      </w:r>
    </w:p>
    <w:tbl>
      <w:tblPr>
        <w:tblStyle w:val="TableGrid"/>
        <w:tblW w:type="auto" w:w="0"/>
        <w:tblLook w:firstColumn="1" w:firstRow="1" w:lastColumn="0" w:lastRow="0" w:noHBand="0" w:noVBand="1" w:val="04A0"/>
      </w:tblPr>
      <w:tblGrid>
        <w:gridCol w:w="4968"/>
        <w:gridCol w:w="4968"/>
      </w:tblGrid>
      <w:tr>
        <w:tc>
          <w:tcPr>
            <w:tcW w:type="dxa" w:w="1584"/>
            <w:shd w:val="clear" w:color="auto" w:fill="1F2A44"/>
          </w:tcPr>
          <w:p>
            <w:pPr>
              <w:spacing w:before="40" w:after="40"/>
            </w:pPr>
            <w:r/>
            <w:r>
              <w:rPr>
                <w:rFonts w:ascii="Arial" w:hAnsi="Arial"/>
                <w:b/>
                <w:i w:val="0"/>
                <w:color w:val="FFFFFF"/>
                <w:sz w:val="20"/>
              </w:rPr>
              <w:t>Number</w:t>
            </w:r>
          </w:p>
        </w:tc>
        <w:tc>
          <w:tcPr>
            <w:tcW w:type="dxa" w:w="8352"/>
            <w:shd w:val="clear" w:color="auto" w:fill="1F2A44"/>
          </w:tcPr>
          <w:p>
            <w:pPr>
              <w:spacing w:before="40" w:after="40"/>
            </w:pPr>
            <w:r/>
            <w:r>
              <w:rPr>
                <w:rFonts w:ascii="Arial" w:hAnsi="Arial"/>
                <w:b/>
                <w:i w:val="0"/>
                <w:color w:val="FFFFFF"/>
                <w:sz w:val="20"/>
              </w:rPr>
              <w:t>What it is</w:t>
            </w:r>
          </w:p>
        </w:tc>
      </w:tr>
      <w:tr>
        <w:tc>
          <w:tcPr>
            <w:tcW w:type="dxa" w:w="1584"/>
            <w:shd w:val="clear" w:color="auto" w:fill="EAEEF5"/>
          </w:tcPr>
          <w:p>
            <w:pPr>
              <w:spacing w:before="40" w:after="40"/>
            </w:pPr>
            <w:r/>
            <w:r>
              <w:rPr>
                <w:rFonts w:ascii="Arial" w:hAnsi="Arial"/>
                <w:b/>
                <w:i w:val="0"/>
                <w:color w:val="1F2A44"/>
                <w:sz w:val="20"/>
              </w:rPr>
              <w:t>4 to 6</w:t>
            </w:r>
          </w:p>
        </w:tc>
        <w:tc>
          <w:tcPr>
            <w:tcW w:type="dxa" w:w="8352"/>
          </w:tcPr>
          <w:p>
            <w:pPr>
              <w:spacing w:before="40" w:after="40"/>
            </w:pPr>
            <w:r/>
            <w:r>
              <w:rPr>
                <w:rFonts w:ascii="Arial" w:hAnsi="Arial"/>
                <w:b w:val="0"/>
                <w:i w:val="0"/>
                <w:sz w:val="20"/>
              </w:rPr>
              <w:t>Deployments possible in the first twelve months. One principal, six to eight weeks each. This is the binding constraint on the entire go-to-market, and it is why the plan targets twenty named accounts rather than a funnel.</w:t>
            </w:r>
          </w:p>
        </w:tc>
      </w:tr>
      <w:tr>
        <w:tc>
          <w:tcPr>
            <w:tcW w:type="dxa" w:w="1584"/>
            <w:shd w:val="clear" w:color="auto" w:fill="EAEEF5"/>
          </w:tcPr>
          <w:p>
            <w:pPr>
              <w:spacing w:before="40" w:after="40"/>
            </w:pPr>
            <w:r/>
            <w:r>
              <w:rPr>
                <w:rFonts w:ascii="Arial" w:hAnsi="Arial"/>
                <w:b/>
                <w:i w:val="0"/>
                <w:color w:val="1F2A44"/>
                <w:sz w:val="20"/>
              </w:rPr>
              <w:t>200 seats</w:t>
            </w:r>
          </w:p>
        </w:tc>
        <w:tc>
          <w:tcPr>
            <w:tcW w:type="dxa" w:w="8352"/>
          </w:tcPr>
          <w:p>
            <w:pPr>
              <w:spacing w:before="40" w:after="40"/>
            </w:pPr>
            <w:r/>
            <w:r>
              <w:rPr>
                <w:rFonts w:ascii="Arial" w:hAnsi="Arial"/>
                <w:b w:val="0"/>
                <w:i w:val="0"/>
                <w:sz w:val="20"/>
              </w:rPr>
              <w:t>Hard qualification floor. Year-one Wolffish revenue is SAR 60,000 plus SAR 948 per seat, while deployment consumes the same principal weeks regardless of size. Below 200 seats the engagement cannot repay that time at any point in the contract.</w:t>
            </w:r>
          </w:p>
        </w:tc>
      </w:tr>
      <w:tr>
        <w:tc>
          <w:tcPr>
            <w:tcW w:type="dxa" w:w="1584"/>
            <w:shd w:val="clear" w:color="auto" w:fill="EAEEF5"/>
          </w:tcPr>
          <w:p>
            <w:pPr>
              <w:spacing w:before="40" w:after="40"/>
            </w:pPr>
            <w:r/>
            <w:r>
              <w:rPr>
                <w:rFonts w:ascii="Arial" w:hAnsi="Arial"/>
                <w:b/>
                <w:i w:val="0"/>
                <w:color w:val="1F2A44"/>
                <w:sz w:val="20"/>
              </w:rPr>
              <w:t>25 weeks</w:t>
            </w:r>
          </w:p>
        </w:tc>
        <w:tc>
          <w:tcPr>
            <w:tcW w:type="dxa" w:w="8352"/>
          </w:tcPr>
          <w:p>
            <w:pPr>
              <w:spacing w:before="40" w:after="40"/>
            </w:pPr>
            <w:r/>
            <w:r>
              <w:rPr>
                <w:rFonts w:ascii="Arial" w:hAnsi="Arial"/>
                <w:b w:val="0"/>
                <w:i w:val="0"/>
                <w:sz w:val="20"/>
              </w:rPr>
              <w:t>Sellable weeks in a Saudi twelve-month period, once Ramadan, both Eids and the July to August executive travel period are removed. A plan assuming forty-eight is wrong by roughly forty percent of the year.</w:t>
            </w:r>
          </w:p>
        </w:tc>
      </w:tr>
      <w:tr>
        <w:tc>
          <w:tcPr>
            <w:tcW w:type="dxa" w:w="1584"/>
            <w:shd w:val="clear" w:color="auto" w:fill="EAEEF5"/>
          </w:tcPr>
          <w:p>
            <w:pPr>
              <w:spacing w:before="40" w:after="40"/>
            </w:pPr>
            <w:r/>
            <w:r>
              <w:rPr>
                <w:rFonts w:ascii="Arial" w:hAnsi="Arial"/>
                <w:b/>
                <w:i w:val="0"/>
                <w:color w:val="1F2A44"/>
                <w:sz w:val="20"/>
              </w:rPr>
              <w:t>0.77 percent</w:t>
            </w:r>
          </w:p>
        </w:tc>
        <w:tc>
          <w:tcPr>
            <w:tcW w:type="dxa" w:w="8352"/>
          </w:tcPr>
          <w:p>
            <w:pPr>
              <w:spacing w:before="40" w:after="40"/>
            </w:pPr>
            <w:r/>
            <w:r>
              <w:rPr>
                <w:rFonts w:ascii="Arial" w:hAnsi="Arial"/>
                <w:b w:val="0"/>
                <w:i w:val="0"/>
                <w:sz w:val="20"/>
              </w:rPr>
              <w:t>The productivity improvement across 300 knowledge workers that repays the entire landed cost of the platform for a year. Microsoft's own users report twenty to forty percent administrative time savings from a product that only drafts.</w:t>
            </w:r>
          </w:p>
        </w:tc>
      </w:tr>
      <w:tr>
        <w:tc>
          <w:tcPr>
            <w:tcW w:type="dxa" w:w="1584"/>
            <w:shd w:val="clear" w:color="auto" w:fill="EAEEF5"/>
          </w:tcPr>
          <w:p>
            <w:pPr>
              <w:spacing w:before="40" w:after="40"/>
            </w:pPr>
            <w:r/>
            <w:r>
              <w:rPr>
                <w:rFonts w:ascii="Arial" w:hAnsi="Arial"/>
                <w:b/>
                <w:i w:val="0"/>
                <w:color w:val="1F2A44"/>
                <w:sz w:val="20"/>
              </w:rPr>
              <w:t>11 days</w:t>
            </w:r>
          </w:p>
        </w:tc>
        <w:tc>
          <w:tcPr>
            <w:tcW w:type="dxa" w:w="8352"/>
          </w:tcPr>
          <w:p>
            <w:pPr>
              <w:spacing w:before="40" w:after="40"/>
            </w:pPr>
            <w:r/>
            <w:r>
              <w:rPr>
                <w:rFonts w:ascii="Arial" w:hAnsi="Arial"/>
                <w:b w:val="0"/>
                <w:i w:val="0"/>
                <w:sz w:val="20"/>
              </w:rPr>
              <w:t>From the date of this library to GAIN, the Global AI Summit, on 15 to 17 September 2026 in Riyadh. It sets the asset build sequence. Black Hat MEA follows on 1 to 3 December.</w:t>
            </w:r>
          </w:p>
        </w:tc>
      </w:tr>
    </w:tbl>
    <w:p>
      <w:pPr>
        <w:spacing w:before="320" w:after="80"/>
      </w:pPr>
      <w:r>
        <w:rPr>
          <w:rFonts w:ascii="Arial" w:hAnsi="Arial"/>
          <w:b/>
          <w:i w:val="0"/>
          <w:color w:val="1F2A44"/>
          <w:sz w:val="30"/>
        </w:rPr>
        <w:t>Six deliberate deviations from a generic B2B SaaS framework</w:t>
      </w:r>
    </w:p>
    <w:tbl>
      <w:tblPr>
        <w:tblStyle w:val="TableGrid"/>
        <w:tblW w:type="auto" w:w="0"/>
        <w:tblLook w:firstColumn="1" w:firstRow="1" w:lastColumn="0" w:lastRow="0" w:noHBand="0" w:noVBand="1" w:val="04A0"/>
      </w:tblPr>
      <w:tblGrid>
        <w:gridCol w:w="3312"/>
        <w:gridCol w:w="3312"/>
        <w:gridCol w:w="3312"/>
      </w:tblGrid>
      <w:tr>
        <w:tc>
          <w:tcPr>
            <w:tcW w:type="dxa" w:w="2880"/>
            <w:shd w:val="clear" w:color="auto" w:fill="1F2A44"/>
          </w:tcPr>
          <w:p>
            <w:pPr>
              <w:spacing w:before="40" w:after="40"/>
            </w:pPr>
            <w:r/>
            <w:r>
              <w:rPr>
                <w:rFonts w:ascii="Arial" w:hAnsi="Arial"/>
                <w:b/>
                <w:i w:val="0"/>
                <w:color w:val="FFFFFF"/>
                <w:sz w:val="20"/>
              </w:rPr>
              <w:t>Generic approach</w:t>
            </w:r>
          </w:p>
        </w:tc>
        <w:tc>
          <w:tcPr>
            <w:tcW w:type="dxa" w:w="3312"/>
            <w:shd w:val="clear" w:color="auto" w:fill="1F2A44"/>
          </w:tcPr>
          <w:p>
            <w:pPr>
              <w:spacing w:before="40" w:after="40"/>
            </w:pPr>
            <w:r/>
            <w:r>
              <w:rPr>
                <w:rFonts w:ascii="Arial" w:hAnsi="Arial"/>
                <w:b/>
                <w:i w:val="0"/>
                <w:color w:val="FFFFFF"/>
                <w:sz w:val="20"/>
              </w:rPr>
              <w:t>What this library does instead</w:t>
            </w:r>
          </w:p>
        </w:tc>
        <w:tc>
          <w:tcPr>
            <w:tcW w:type="dxa" w:w="3888"/>
            <w:shd w:val="clear" w:color="auto" w:fill="1F2A44"/>
          </w:tcPr>
          <w:p>
            <w:pPr>
              <w:spacing w:before="40" w:after="40"/>
            </w:pPr>
            <w:r/>
            <w:r>
              <w:rPr>
                <w:rFonts w:ascii="Arial" w:hAnsi="Arial"/>
                <w:b/>
                <w:i w:val="0"/>
                <w:color w:val="FFFFFF"/>
                <w:sz w:val="20"/>
              </w:rPr>
              <w:t>Why</w:t>
            </w:r>
          </w:p>
        </w:tc>
      </w:tr>
      <w:tr>
        <w:tc>
          <w:tcPr>
            <w:tcW w:type="dxa" w:w="2880"/>
            <w:shd w:val="clear" w:color="auto" w:fill="EAEEF5"/>
          </w:tcPr>
          <w:p>
            <w:pPr>
              <w:spacing w:before="40" w:after="40"/>
            </w:pPr>
            <w:r/>
            <w:r>
              <w:rPr>
                <w:rFonts w:ascii="Arial" w:hAnsi="Arial"/>
                <w:b/>
                <w:i w:val="0"/>
                <w:color w:val="1F2A44"/>
                <w:sz w:val="20"/>
              </w:rPr>
              <w:t>Three research steps handed back to the client to execute externally</w:t>
            </w:r>
          </w:p>
        </w:tc>
        <w:tc>
          <w:tcPr>
            <w:tcW w:type="dxa" w:w="3312"/>
          </w:tcPr>
          <w:p>
            <w:pPr>
              <w:spacing w:before="40" w:after="40"/>
            </w:pPr>
            <w:r/>
            <w:r>
              <w:rPr>
                <w:rFonts w:ascii="Arial" w:hAnsi="Arial"/>
                <w:b w:val="0"/>
                <w:i w:val="0"/>
                <w:sz w:val="20"/>
              </w:rPr>
              <w:t>All three executed against live sources</w:t>
            </w:r>
          </w:p>
        </w:tc>
        <w:tc>
          <w:tcPr>
            <w:tcW w:type="dxa" w:w="3888"/>
          </w:tcPr>
          <w:p>
            <w:pPr>
              <w:spacing w:before="40" w:after="40"/>
            </w:pPr>
            <w:r/>
            <w:r>
              <w:rPr>
                <w:rFonts w:ascii="Arial" w:hAnsi="Arial"/>
                <w:b w:val="0"/>
                <w:i w:val="0"/>
                <w:sz w:val="20"/>
              </w:rPr>
              <w:t>Handing back a research brief instead of research produces a template, not a go-to-market.</w:t>
            </w:r>
          </w:p>
        </w:tc>
      </w:tr>
      <w:tr>
        <w:tc>
          <w:tcPr>
            <w:tcW w:type="dxa" w:w="2880"/>
            <w:shd w:val="clear" w:color="auto" w:fill="EAEEF5"/>
          </w:tcPr>
          <w:p>
            <w:pPr>
              <w:spacing w:before="40" w:after="40"/>
            </w:pPr>
            <w:r/>
            <w:r>
              <w:rPr>
                <w:rFonts w:ascii="Arial" w:hAnsi="Arial"/>
                <w:b/>
                <w:i w:val="0"/>
                <w:color w:val="1F2A44"/>
                <w:sz w:val="20"/>
              </w:rPr>
              <w:t>Four positioning vectors</w:t>
            </w:r>
          </w:p>
        </w:tc>
        <w:tc>
          <w:tcPr>
            <w:tcW w:type="dxa" w:w="3312"/>
          </w:tcPr>
          <w:p>
            <w:pPr>
              <w:spacing w:before="40" w:after="40"/>
            </w:pPr>
            <w:r/>
            <w:r>
              <w:rPr>
                <w:rFonts w:ascii="Arial" w:hAnsi="Arial"/>
                <w:b w:val="0"/>
                <w:i w:val="0"/>
                <w:sz w:val="20"/>
              </w:rPr>
              <w:t>Five, adding Sovereign Legitimacy and National Mandate</w:t>
            </w:r>
          </w:p>
        </w:tc>
        <w:tc>
          <w:tcPr>
            <w:tcW w:type="dxa" w:w="3888"/>
          </w:tcPr>
          <w:p>
            <w:pPr>
              <w:spacing w:before="40" w:after="40"/>
            </w:pPr>
            <w:r/>
            <w:r>
              <w:rPr>
                <w:rFonts w:ascii="Arial" w:hAnsi="Arial"/>
                <w:b w:val="0"/>
                <w:i w:val="0"/>
                <w:sz w:val="20"/>
              </w:rPr>
              <w:t>In the Kingdom this vector decides deals. Omitting it produces a map that flatters Wolffish and then loses in the room.</w:t>
            </w:r>
          </w:p>
        </w:tc>
      </w:tr>
      <w:tr>
        <w:tc>
          <w:tcPr>
            <w:tcW w:type="dxa" w:w="2880"/>
            <w:shd w:val="clear" w:color="auto" w:fill="EAEEF5"/>
          </w:tcPr>
          <w:p>
            <w:pPr>
              <w:spacing w:before="40" w:after="40"/>
            </w:pPr>
            <w:r/>
            <w:r>
              <w:rPr>
                <w:rFonts w:ascii="Arial" w:hAnsi="Arial"/>
                <w:b/>
                <w:i w:val="0"/>
                <w:color w:val="1F2A44"/>
                <w:sz w:val="20"/>
              </w:rPr>
              <w:t>Decoy, Hero and Anchor pricing tiers with a free entry tier</w:t>
            </w:r>
          </w:p>
        </w:tc>
        <w:tc>
          <w:tcPr>
            <w:tcW w:type="dxa" w:w="3312"/>
          </w:tcPr>
          <w:p>
            <w:pPr>
              <w:spacing w:before="40" w:after="40"/>
            </w:pPr>
            <w:r/>
            <w:r>
              <w:rPr>
                <w:rFonts w:ascii="Arial" w:hAnsi="Arial"/>
                <w:b w:val="0"/>
                <w:i w:val="0"/>
                <w:sz w:val="20"/>
              </w:rPr>
              <w:t>A deployment scope ladder plus in-account seat expansion</w:t>
            </w:r>
          </w:p>
        </w:tc>
        <w:tc>
          <w:tcPr>
            <w:tcW w:type="dxa" w:w="3888"/>
          </w:tcPr>
          <w:p>
            <w:pPr>
              <w:spacing w:before="40" w:after="40"/>
            </w:pPr>
            <w:r/>
            <w:r>
              <w:rPr>
                <w:rFonts w:ascii="Arial" w:hAnsi="Arial"/>
                <w:b w:val="0"/>
                <w:i w:val="0"/>
                <w:sz w:val="20"/>
              </w:rPr>
              <w:t>There is no free tier, no self-serve upgrade and a customer count in single digits. A distribution target expressed as a percentage of customers is meaningless at five customers.</w:t>
            </w:r>
          </w:p>
        </w:tc>
      </w:tr>
      <w:tr>
        <w:tc>
          <w:tcPr>
            <w:tcW w:type="dxa" w:w="2880"/>
            <w:shd w:val="clear" w:color="auto" w:fill="EAEEF5"/>
          </w:tcPr>
          <w:p>
            <w:pPr>
              <w:spacing w:before="40" w:after="40"/>
            </w:pPr>
            <w:r/>
            <w:r>
              <w:rPr>
                <w:rFonts w:ascii="Arial" w:hAnsi="Arial"/>
                <w:b/>
                <w:i w:val="0"/>
                <w:color w:val="1F2A44"/>
                <w:sz w:val="20"/>
              </w:rPr>
              <w:t>LinkedIn automation, cold email and paid social</w:t>
            </w:r>
          </w:p>
        </w:tc>
        <w:tc>
          <w:tcPr>
            <w:tcW w:type="dxa" w:w="3312"/>
          </w:tcPr>
          <w:p>
            <w:pPr>
              <w:spacing w:before="40" w:after="40"/>
            </w:pPr>
            <w:r/>
            <w:r>
              <w:rPr>
                <w:rFonts w:ascii="Arial" w:hAnsi="Arial"/>
                <w:b w:val="0"/>
                <w:i w:val="0"/>
                <w:sz w:val="20"/>
              </w:rPr>
              <w:t>Seven Saudi channels, with those three explicitly not built</w:t>
            </w:r>
          </w:p>
        </w:tc>
        <w:tc>
          <w:tcPr>
            <w:tcW w:type="dxa" w:w="3888"/>
          </w:tcPr>
          <w:p>
            <w:pPr>
              <w:spacing w:before="40" w:after="40"/>
            </w:pPr>
            <w:r/>
            <w:r>
              <w:rPr>
                <w:rFonts w:ascii="Arial" w:hAnsi="Arial"/>
                <w:b w:val="0"/>
                <w:i w:val="0"/>
                <w:sz w:val="20"/>
              </w:rPr>
              <w:t>They are volume instruments deployed against a capacity ceiling of four to six deployments, in a market where automation to a CISO reads as disrespect.</w:t>
            </w:r>
          </w:p>
        </w:tc>
      </w:tr>
      <w:tr>
        <w:tc>
          <w:tcPr>
            <w:tcW w:type="dxa" w:w="2880"/>
            <w:shd w:val="clear" w:color="auto" w:fill="EAEEF5"/>
          </w:tcPr>
          <w:p>
            <w:pPr>
              <w:spacing w:before="40" w:after="40"/>
            </w:pPr>
            <w:r/>
            <w:r>
              <w:rPr>
                <w:rFonts w:ascii="Arial" w:hAnsi="Arial"/>
                <w:b/>
                <w:i w:val="0"/>
                <w:color w:val="1F2A44"/>
                <w:sz w:val="20"/>
              </w:rPr>
              <w:t>Three buying-committee personas</w:t>
            </w:r>
          </w:p>
        </w:tc>
        <w:tc>
          <w:tcPr>
            <w:tcW w:type="dxa" w:w="3312"/>
          </w:tcPr>
          <w:p>
            <w:pPr>
              <w:spacing w:before="40" w:after="40"/>
            </w:pPr>
            <w:r/>
            <w:r>
              <w:rPr>
                <w:rFonts w:ascii="Arial" w:hAnsi="Arial"/>
                <w:b w:val="0"/>
                <w:i w:val="0"/>
                <w:sz w:val="20"/>
              </w:rPr>
              <w:t>Seven for ICP 1 and ten for ICP 2</w:t>
            </w:r>
          </w:p>
        </w:tc>
        <w:tc>
          <w:tcPr>
            <w:tcW w:type="dxa" w:w="3888"/>
          </w:tcPr>
          <w:p>
            <w:pPr>
              <w:spacing w:before="40" w:after="40"/>
            </w:pPr>
            <w:r/>
            <w:r>
              <w:rPr>
                <w:rFonts w:ascii="Arial" w:hAnsi="Arial"/>
                <w:b w:val="0"/>
                <w:i w:val="0"/>
                <w:sz w:val="20"/>
              </w:rPr>
              <w:t>The CISO holds a real veto, procurement applies a process a foreign-invoiced vendor fails, and the relationship sponsor decides how everyone else first hears about you.</w:t>
            </w:r>
          </w:p>
        </w:tc>
      </w:tr>
      <w:tr>
        <w:tc>
          <w:tcPr>
            <w:tcW w:type="dxa" w:w="2880"/>
            <w:shd w:val="clear" w:color="auto" w:fill="EAEEF5"/>
          </w:tcPr>
          <w:p>
            <w:pPr>
              <w:spacing w:before="40" w:after="40"/>
            </w:pPr>
            <w:r/>
            <w:r>
              <w:rPr>
                <w:rFonts w:ascii="Arial" w:hAnsi="Arial"/>
                <w:b/>
                <w:i w:val="0"/>
                <w:color w:val="1F2A44"/>
                <w:sz w:val="20"/>
              </w:rPr>
              <w:t>A five to seven question lead-magnet scorecard</w:t>
            </w:r>
          </w:p>
        </w:tc>
        <w:tc>
          <w:tcPr>
            <w:tcW w:type="dxa" w:w="3312"/>
          </w:tcPr>
          <w:p>
            <w:pPr>
              <w:spacing w:before="40" w:after="40"/>
            </w:pPr>
            <w:r/>
            <w:r>
              <w:rPr>
                <w:rFonts w:ascii="Arial" w:hAnsi="Arial"/>
                <w:b w:val="0"/>
                <w:i w:val="0"/>
                <w:sz w:val="20"/>
              </w:rPr>
              <w:t>Twelve questions across two independently scored dimensions</w:t>
            </w:r>
          </w:p>
        </w:tc>
        <w:tc>
          <w:tcPr>
            <w:tcW w:type="dxa" w:w="3888"/>
          </w:tcPr>
          <w:p>
            <w:pPr>
              <w:spacing w:before="40" w:after="40"/>
            </w:pPr>
            <w:r/>
            <w:r>
              <w:rPr>
                <w:rFonts w:ascii="Arial" w:hAnsi="Arial"/>
                <w:b w:val="0"/>
                <w:i w:val="0"/>
                <w:sz w:val="20"/>
              </w:rPr>
              <w:t>A six-question composite produces a number a CISO would not carry to an audit committee, and a number they will not carry has no value.</w:t>
            </w:r>
          </w:p>
        </w:tc>
      </w:tr>
    </w:tbl>
    <w:p>
      <w:pPr>
        <w:spacing w:before="320" w:after="80"/>
      </w:pPr>
      <w:r>
        <w:rPr>
          <w:rFonts w:ascii="Arial" w:hAnsi="Arial"/>
          <w:b/>
          <w:i w:val="0"/>
          <w:color w:val="1F2A44"/>
          <w:sz w:val="30"/>
        </w:rPr>
        <w:t>Provenance and limits</w:t>
      </w:r>
    </w:p>
    <w:p>
      <w:pPr>
        <w:spacing w:before="0" w:after="120"/>
      </w:pPr>
      <w:r>
        <w:rPr>
          <w:rFonts w:ascii="Arial" w:hAnsi="Arial"/>
          <w:b w:val="0"/>
          <w:i w:val="0"/>
          <w:sz w:val="20"/>
        </w:rPr>
        <w:t>Built from two source documents in the project repository: the Wolffish Business Model, Pricing and Value Proposition, dated September 2026, and the Service and Offer Matrix. Saudi regulatory, procurement, demand, cost and calendar research was conducted against live sources on 4 September 2026 and is cited in the research dossier that accompanies this library.</w:t>
      </w:r>
    </w:p>
    <w:p>
      <w:pPr>
        <w:spacing w:before="0" w:after="120"/>
      </w:pPr>
      <w:r>
        <w:rPr>
          <w:rFonts w:ascii="Arial" w:hAnsi="Arial"/>
          <w:b w:val="0"/>
          <w:i w:val="0"/>
          <w:sz w:val="20"/>
        </w:rPr>
        <w:t>Limits worth stating plainly. Regulatory positions are a working reading as at September 2026, not legal advice, and three of them have a known shelf life: Microsoft's Saudi cloud region lands in Q4 2026, AWS has committed but not launched, and OpenAI is expanding its residency list. Competitor cost figures are modelled from published rates and independent analyses at the SAR 3.75 peg; vendor seat prices are negotiated and move with volume and term. The fully loaded knowledge-worker cost of SAR 200,000 used in the ROI anchors is modelled and should be replaced with the customer's own figure. Example organisations in the target map illustrate archetypes from public information and are not qualified prospects or claims about their current systems, vendors or intentions.</w:t>
      </w:r>
    </w:p>
    <w:p>
      <w:pPr>
        <w:spacing w:before="240" w:after="120"/>
      </w:pPr>
      <w:r>
        <w:rPr>
          <w:rFonts w:ascii="Arial" w:hAnsi="Arial"/>
          <w:b w:val="0"/>
          <w:i/>
          <w:color w:val="555555"/>
          <w:sz w:val="18"/>
        </w:rPr>
        <w:t>Younes Alturkey  ·  Founder &amp; Engineer, Wolffish  ·  younes@wolffi.sh  ·  +966 53 865 4514  ·  wolffi.sh/cloud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