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B7791F"/>
          <w:sz w:val="22"/>
        </w:rPr>
        <w:t>Wolffish Cloud  ·  Kingdom of Saudi Arabia</w:t>
      </w:r>
    </w:p>
    <w:p>
      <w:pPr>
        <w:spacing w:before="0" w:after="80"/>
      </w:pPr>
      <w:r>
        <w:rPr>
          <w:rFonts w:ascii="Arial" w:hAnsi="Arial"/>
          <w:b/>
          <w:i w:val="0"/>
          <w:color w:val="1F2A44"/>
          <w:sz w:val="40"/>
        </w:rPr>
        <w:t>Positioning Framework</w:t>
      </w:r>
    </w:p>
    <w:p>
      <w:pPr>
        <w:spacing w:before="0" w:after="240"/>
      </w:pPr>
      <w:r>
        <w:rPr>
          <w:rFonts w:ascii="Arial" w:hAnsi="Arial"/>
          <w:b w:val="0"/>
          <w:i/>
          <w:color w:val="555555"/>
          <w:sz w:val="19"/>
        </w:rPr>
        <w:t>The category claim, six positioning statements written to be said out loud to a committee, a message hierarchy ordered by who is in the room, the disqualifiers that make the rest believable, and the nine objections that actually get said in a Saudi enterprise meeting. Version 1.0, 4 September 2026.</w:t>
      </w:r>
    </w:p>
    <w:p>
      <w:pPr>
        <w:spacing w:before="320" w:after="80"/>
      </w:pPr>
      <w:r>
        <w:rPr>
          <w:rFonts w:ascii="Arial" w:hAnsi="Arial"/>
          <w:b/>
          <w:i w:val="0"/>
          <w:color w:val="1F2A44"/>
          <w:sz w:val="30"/>
        </w:rPr>
        <w:t>Standing Caveats</w:t>
      </w:r>
    </w:p>
    <w:p>
      <w:pPr>
        <w:spacing w:before="0" w:after="160"/>
      </w:pPr>
      <w:r>
        <w:rPr>
          <w:rFonts w:ascii="Arial" w:hAnsi="Arial"/>
          <w:b w:val="0"/>
          <w:i/>
          <w:color w:val="666666"/>
          <w:sz w:val="17"/>
        </w:rPr>
        <w:t>These five apply to every document in this library. Four of them change what the numbers mean, and the fifth changes whether they can be trusted yet.</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C1 · Not SaaS</w:t>
            </w:r>
          </w:p>
        </w:tc>
        <w:tc>
          <w:tcPr>
            <w:tcW w:type="dxa" w:w="6624"/>
          </w:tcPr>
          <w:p>
            <w:pPr>
              <w:spacing w:before="40" w:after="40"/>
            </w:pPr>
            <w:r/>
            <w:r>
              <w:rPr>
                <w:rFonts w:ascii="Arial" w:hAnsi="Arial"/>
                <w:b w:val="0"/>
                <w:i w:val="0"/>
                <w:sz w:val="20"/>
              </w:rPr>
              <w:t>Wolffish is three stacked products, not one: an agentic harness on the employee's own machine, a platform control plane, and a cloud service engagement. A fourth layer, Saudi regulatory and commercial fit, has no equivalent in a generic B2B SaaS framework. Every feature, benefit, score and price in this library is tagged to a layer, and scores are never averaged across layers.</w:t>
            </w:r>
          </w:p>
        </w:tc>
      </w:tr>
      <w:tr>
        <w:tc>
          <w:tcPr>
            <w:tcW w:type="dxa" w:w="3312"/>
            <w:shd w:val="clear" w:color="auto" w:fill="EAEEF5"/>
          </w:tcPr>
          <w:p>
            <w:pPr>
              <w:spacing w:before="40" w:after="40"/>
            </w:pPr>
            <w:r/>
            <w:r>
              <w:rPr>
                <w:rFonts w:ascii="Arial" w:hAnsi="Arial"/>
                <w:b/>
                <w:i w:val="0"/>
                <w:color w:val="1F2A44"/>
                <w:sz w:val="20"/>
              </w:rPr>
              <w:t>C2 · No self-serve motion</w:t>
            </w:r>
          </w:p>
        </w:tc>
        <w:tc>
          <w:tcPr>
            <w:tcW w:type="dxa" w:w="6624"/>
          </w:tcPr>
          <w:p>
            <w:pPr>
              <w:spacing w:before="40" w:after="40"/>
            </w:pPr>
            <w:r/>
            <w:r>
              <w:rPr>
                <w:rFonts w:ascii="Arial" w:hAnsi="Arial"/>
                <w:b w:val="0"/>
                <w:i w:val="0"/>
                <w:sz w:val="20"/>
              </w:rPr>
              <w:t>SAR 60,000 at signature, a twelve-month term and quarterly prepay make this a committee purchase from the first meeting. There is no free tier, no trial, no product-qualified lead and no self-serve upgrade path. Any metric that would assume one is marked 'n/a, not a self-serve product' rather than invented.</w:t>
            </w:r>
          </w:p>
        </w:tc>
      </w:tr>
      <w:tr>
        <w:tc>
          <w:tcPr>
            <w:tcW w:type="dxa" w:w="3312"/>
            <w:shd w:val="clear" w:color="auto" w:fill="EAEEF5"/>
          </w:tcPr>
          <w:p>
            <w:pPr>
              <w:spacing w:before="40" w:after="40"/>
            </w:pPr>
            <w:r/>
            <w:r>
              <w:rPr>
                <w:rFonts w:ascii="Arial" w:hAnsi="Arial"/>
                <w:b/>
                <w:i w:val="0"/>
                <w:color w:val="1F2A44"/>
                <w:sz w:val="20"/>
              </w:rPr>
              <w:t>C3 · Two of three price lines are not Wolffish revenue</w:t>
            </w:r>
          </w:p>
        </w:tc>
        <w:tc>
          <w:tcPr>
            <w:tcW w:type="dxa" w:w="6624"/>
          </w:tcPr>
          <w:p>
            <w:pPr>
              <w:spacing w:before="40" w:after="40"/>
            </w:pPr>
            <w:r/>
            <w:r>
              <w:rPr>
                <w:rFonts w:ascii="Arial" w:hAnsi="Arial"/>
                <w:b w:val="0"/>
                <w:i w:val="0"/>
                <w:sz w:val="20"/>
              </w:rPr>
              <w:t>Landed cost is SAR 124 to 184 per employee per month. Wolffish revenue is SAR 79 of it. Inference and infrastructure are billed by the customer's own providers, directly to the customer, at zero Wolffish margin. Every comparison in this library is stated as landed cost on both sides.</w:t>
            </w:r>
          </w:p>
        </w:tc>
      </w:tr>
      <w:tr>
        <w:tc>
          <w:tcPr>
            <w:tcW w:type="dxa" w:w="3312"/>
            <w:shd w:val="clear" w:color="auto" w:fill="EAEEF5"/>
          </w:tcPr>
          <w:p>
            <w:pPr>
              <w:spacing w:before="40" w:after="40"/>
            </w:pPr>
            <w:r/>
            <w:r>
              <w:rPr>
                <w:rFonts w:ascii="Arial" w:hAnsi="Arial"/>
                <w:b/>
                <w:i w:val="0"/>
                <w:color w:val="1F2A44"/>
                <w:sz w:val="20"/>
              </w:rPr>
              <w:t>C4 · Kingdom of Saudi Arabia only</w:t>
            </w:r>
          </w:p>
        </w:tc>
        <w:tc>
          <w:tcPr>
            <w:tcW w:type="dxa" w:w="6624"/>
          </w:tcPr>
          <w:p>
            <w:pPr>
              <w:spacing w:before="40" w:after="40"/>
            </w:pPr>
            <w:r/>
            <w:r>
              <w:rPr>
                <w:rFonts w:ascii="Arial" w:hAnsi="Arial"/>
                <w:b w:val="0"/>
                <w:i w:val="0"/>
                <w:sz w:val="20"/>
              </w:rPr>
              <w:t>Every ICP, persona, channel, price point, asset and KPI here is scoped to the Kingdom. G2, Capterra and Trustpilot carry almost no Saudi buyer signal and were used only for global product-quality themes; every Saudi-specific claim is sourced to a Saudi regulatory instrument, procurement rule or market report. This library does not travel to the wider GCC or globally without re-running the ICP, journey and assets work.</w:t>
            </w:r>
          </w:p>
        </w:tc>
      </w:tr>
      <w:tr>
        <w:tc>
          <w:tcPr>
            <w:tcW w:type="dxa" w:w="3312"/>
            <w:shd w:val="clear" w:color="auto" w:fill="EAEEF5"/>
          </w:tcPr>
          <w:p>
            <w:pPr>
              <w:spacing w:before="40" w:after="40"/>
            </w:pPr>
            <w:r/>
            <w:r>
              <w:rPr>
                <w:rFonts w:ascii="Arial" w:hAnsi="Arial"/>
                <w:b/>
                <w:i w:val="0"/>
                <w:color w:val="1F2A44"/>
                <w:sz w:val="20"/>
              </w:rPr>
              <w:t>C5 · Offer metrics are self-rated and unreconciled</w:t>
            </w:r>
          </w:p>
        </w:tc>
        <w:tc>
          <w:tcPr>
            <w:tcW w:type="dxa" w:w="6624"/>
          </w:tcPr>
          <w:p>
            <w:pPr>
              <w:spacing w:before="40" w:after="40"/>
            </w:pPr>
            <w:r/>
            <w:r>
              <w:rPr>
                <w:rFonts w:ascii="Arial" w:hAnsi="Arial"/>
                <w:b w:val="0"/>
                <w:i w:val="0"/>
                <w:sz w:val="20"/>
              </w:rPr>
              <w:t>The source Service and Offer Matrix contains two self-rated blocks by two people describing two different companies, and the second block carries its own 'not a live product audit' warning. Six findings are open, including one uncapped commitment that is the largest margin risk in the model. Nothing downstream is validated until those are reconciled on the review call.</w:t>
            </w:r>
          </w:p>
        </w:tc>
      </w:tr>
    </w:tbl>
    <w:p>
      <w:pPr>
        <w:spacing w:before="320" w:after="80"/>
      </w:pPr>
      <w:r>
        <w:rPr>
          <w:rFonts w:ascii="Arial" w:hAnsi="Arial"/>
          <w:b/>
          <w:i w:val="0"/>
          <w:color w:val="1F2A44"/>
          <w:sz w:val="30"/>
        </w:rPr>
        <w:t>The Category Claim</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Category, English</w:t>
            </w:r>
          </w:p>
        </w:tc>
        <w:tc>
          <w:tcPr>
            <w:tcW w:type="dxa" w:w="6624"/>
          </w:tcPr>
          <w:p>
            <w:pPr>
              <w:spacing w:before="40" w:after="40"/>
            </w:pPr>
            <w:r/>
            <w:r>
              <w:rPr>
                <w:rFonts w:ascii="Arial" w:hAnsi="Arial"/>
                <w:b w:val="0"/>
                <w:i w:val="0"/>
                <w:sz w:val="20"/>
              </w:rPr>
              <w:t>In-perimeter agentic workforce platform</w:t>
            </w:r>
          </w:p>
        </w:tc>
      </w:tr>
      <w:tr>
        <w:tc>
          <w:tcPr>
            <w:tcW w:type="dxa" w:w="3312"/>
            <w:shd w:val="clear" w:color="auto" w:fill="EAEEF5"/>
          </w:tcPr>
          <w:p>
            <w:pPr>
              <w:spacing w:before="40" w:after="40"/>
            </w:pPr>
            <w:r/>
            <w:r>
              <w:rPr>
                <w:rFonts w:ascii="Arial" w:hAnsi="Arial"/>
                <w:b/>
                <w:i w:val="0"/>
                <w:color w:val="1F2A44"/>
                <w:sz w:val="20"/>
              </w:rPr>
              <w:t>Category, Arabic</w:t>
            </w:r>
          </w:p>
        </w:tc>
        <w:tc>
          <w:tcPr>
            <w:tcW w:type="dxa" w:w="6624"/>
          </w:tcPr>
          <w:p>
            <w:pPr>
              <w:spacing w:before="40" w:after="40"/>
            </w:pPr>
            <w:r/>
            <w:r>
              <w:rPr>
                <w:rFonts w:ascii="Arial" w:hAnsi="Arial"/>
                <w:b w:val="0"/>
                <w:i w:val="0"/>
                <w:sz w:val="20"/>
              </w:rPr>
              <w:t>منصة وكلاء ذكيين داخل نطاق منشأتك</w:t>
            </w:r>
          </w:p>
        </w:tc>
      </w:tr>
      <w:tr>
        <w:tc>
          <w:tcPr>
            <w:tcW w:type="dxa" w:w="3312"/>
            <w:shd w:val="clear" w:color="auto" w:fill="EAEEF5"/>
          </w:tcPr>
          <w:p>
            <w:pPr>
              <w:spacing w:before="40" w:after="40"/>
            </w:pPr>
            <w:r/>
            <w:r>
              <w:rPr>
                <w:rFonts w:ascii="Arial" w:hAnsi="Arial"/>
                <w:b/>
                <w:i w:val="0"/>
                <w:color w:val="1F2A44"/>
                <w:sz w:val="20"/>
              </w:rPr>
              <w:t>Why this name</w:t>
            </w:r>
          </w:p>
        </w:tc>
        <w:tc>
          <w:tcPr>
            <w:tcW w:type="dxa" w:w="6624"/>
          </w:tcPr>
          <w:p>
            <w:pPr>
              <w:spacing w:before="40" w:after="40"/>
            </w:pPr>
            <w:r/>
            <w:r>
              <w:rPr>
                <w:rFonts w:ascii="Arial" w:hAnsi="Arial"/>
                <w:b w:val="0"/>
                <w:i w:val="0"/>
                <w:sz w:val="20"/>
              </w:rPr>
              <w:t>It excludes every competitor by construction. 'In-perimeter' excludes the four vendor clouds. 'Workforce' excludes Cursor and GitHub Copilot, which are developer tools. 'Platform' excludes the integrator project. Nothing on a Saudi shortlist can adopt this label without changing what it is.</w:t>
            </w:r>
          </w:p>
        </w:tc>
      </w:tr>
      <w:tr>
        <w:tc>
          <w:tcPr>
            <w:tcW w:type="dxa" w:w="3312"/>
            <w:shd w:val="clear" w:color="auto" w:fill="EAEEF5"/>
          </w:tcPr>
          <w:p>
            <w:pPr>
              <w:spacing w:before="40" w:after="40"/>
            </w:pPr>
            <w:r/>
            <w:r>
              <w:rPr>
                <w:rFonts w:ascii="Arial" w:hAnsi="Arial"/>
                <w:b/>
                <w:i w:val="0"/>
                <w:color w:val="1F2A44"/>
                <w:sz w:val="20"/>
              </w:rPr>
              <w:t>What it is not called</w:t>
            </w:r>
          </w:p>
        </w:tc>
        <w:tc>
          <w:tcPr>
            <w:tcW w:type="dxa" w:w="6624"/>
          </w:tcPr>
          <w:p>
            <w:pPr>
              <w:spacing w:before="40" w:after="40"/>
            </w:pPr>
            <w:r/>
            <w:r>
              <w:rPr>
                <w:rFonts w:ascii="Arial" w:hAnsi="Arial"/>
                <w:b w:val="0"/>
                <w:i w:val="0"/>
                <w:sz w:val="20"/>
              </w:rPr>
              <w:t>Not 'AI assistant', which is the commoditised harness framing and invites a Copilot comparison Wolffish does not win.</w:t>
            </w:r>
          </w:p>
          <w:p>
            <w:pPr>
              <w:spacing w:before="0" w:after="40"/>
            </w:pPr>
            <w:r>
              <w:rPr>
                <w:rFonts w:ascii="Arial" w:hAnsi="Arial"/>
                <w:b w:val="0"/>
                <w:i w:val="0"/>
                <w:sz w:val="20"/>
              </w:rPr>
              <w:t>Not 'AI agent spend governance', which puts the company in the FinOps room against observability vendors, selling to a FinOps lead, with a ceiling set by how much is being overspent rather than by headcount. That framing reprices the company by roughly an order of magnitude and is rejected in the Offer Metrics Audit.</w:t>
            </w:r>
          </w:p>
          <w:p>
            <w:pPr>
              <w:spacing w:before="0" w:after="40"/>
            </w:pPr>
            <w:r>
              <w:rPr>
                <w:rFonts w:ascii="Arial" w:hAnsi="Arial"/>
                <w:b w:val="0"/>
                <w:i w:val="0"/>
                <w:sz w:val="20"/>
              </w:rPr>
              <w:t>Not 'sovereign AI', which is HUMAIN's word. Taking it starts a fight Wolffish loses and, in this market, reads as faintly presumptuous.</w:t>
            </w:r>
          </w:p>
        </w:tc>
      </w:tr>
      <w:tr>
        <w:tc>
          <w:tcPr>
            <w:tcW w:type="dxa" w:w="3312"/>
            <w:shd w:val="clear" w:color="auto" w:fill="EAEEF5"/>
          </w:tcPr>
          <w:p>
            <w:pPr>
              <w:spacing w:before="40" w:after="40"/>
            </w:pPr>
            <w:r/>
            <w:r>
              <w:rPr>
                <w:rFonts w:ascii="Arial" w:hAnsi="Arial"/>
                <w:b/>
                <w:i w:val="0"/>
                <w:color w:val="1F2A44"/>
                <w:sz w:val="20"/>
              </w:rPr>
              <w:t>One-liner, English</w:t>
            </w:r>
          </w:p>
        </w:tc>
        <w:tc>
          <w:tcPr>
            <w:tcW w:type="dxa" w:w="6624"/>
          </w:tcPr>
          <w:p>
            <w:pPr>
              <w:spacing w:before="40" w:after="40"/>
            </w:pPr>
            <w:r/>
            <w:r>
              <w:rPr>
                <w:rFonts w:ascii="Arial" w:hAnsi="Arial"/>
                <w:b w:val="0"/>
                <w:i w:val="0"/>
                <w:sz w:val="20"/>
              </w:rPr>
              <w:t>One agent per employee, running on their own machine, inside your own perimeter, on a bill you set.</w:t>
            </w:r>
          </w:p>
        </w:tc>
      </w:tr>
      <w:tr>
        <w:tc>
          <w:tcPr>
            <w:tcW w:type="dxa" w:w="3312"/>
            <w:shd w:val="clear" w:color="auto" w:fill="EAEEF5"/>
          </w:tcPr>
          <w:p>
            <w:pPr>
              <w:spacing w:before="40" w:after="40"/>
            </w:pPr>
            <w:r/>
            <w:r>
              <w:rPr>
                <w:rFonts w:ascii="Arial" w:hAnsi="Arial"/>
                <w:b/>
                <w:i w:val="0"/>
                <w:color w:val="1F2A44"/>
                <w:sz w:val="20"/>
              </w:rPr>
              <w:t>One-liner, Arabic</w:t>
            </w:r>
          </w:p>
        </w:tc>
        <w:tc>
          <w:tcPr>
            <w:tcW w:type="dxa" w:w="6624"/>
          </w:tcPr>
          <w:p>
            <w:pPr>
              <w:spacing w:before="40" w:after="40"/>
            </w:pPr>
            <w:r/>
            <w:r>
              <w:rPr>
                <w:rFonts w:ascii="Arial" w:hAnsi="Arial"/>
                <w:b w:val="0"/>
                <w:i w:val="0"/>
                <w:sz w:val="20"/>
              </w:rPr>
              <w:t>وكيل ذكي لكل موظف، على جهازه، داخل نطاقك، وبتكلفة تُقرّرها أنت.</w:t>
            </w:r>
          </w:p>
        </w:tc>
      </w:tr>
    </w:tbl>
    <w:p>
      <w:pPr>
        <w:spacing w:before="320" w:after="80"/>
      </w:pPr>
      <w:r>
        <w:rPr>
          <w:rFonts w:ascii="Arial" w:hAnsi="Arial"/>
          <w:b/>
          <w:i w:val="0"/>
          <w:color w:val="1F2A44"/>
          <w:sz w:val="30"/>
        </w:rPr>
        <w:t>The Six Positioning Statements</w:t>
      </w:r>
    </w:p>
    <w:p>
      <w:pPr>
        <w:spacing w:before="0" w:after="160"/>
      </w:pPr>
      <w:r>
        <w:rPr>
          <w:rFonts w:ascii="Arial" w:hAnsi="Arial"/>
          <w:b w:val="0"/>
          <w:i/>
          <w:color w:val="666666"/>
          <w:sz w:val="17"/>
        </w:rPr>
        <w:t>Each statement defends a different layer of the product against a different alternative. Statement 1 defends the agentic harness, statements 2 and 3 the platform control plane, statement 4 the cloud service, and statement 5 the Saudi regulatory layer. A single line covering all four would be too abstract to survive a meeting. Every statement is written to be said out loud by a founder to a committee, not to sit above a signup button; the web version is the shorter one.</w:t>
      </w:r>
    </w:p>
    <w:p>
      <w:pPr>
        <w:spacing w:before="240" w:after="80"/>
      </w:pPr>
      <w:r>
        <w:rPr>
          <w:rFonts w:ascii="Arial" w:hAnsi="Arial"/>
          <w:b/>
          <w:i w:val="0"/>
          <w:color w:val="1F2A44"/>
          <w:sz w:val="24"/>
        </w:rPr>
        <w:t>Statement 1: Against direct competitors: the AI vendor clouds</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Competing against</w:t>
            </w:r>
          </w:p>
        </w:tc>
        <w:tc>
          <w:tcPr>
            <w:tcW w:type="dxa" w:w="6624"/>
          </w:tcPr>
          <w:p>
            <w:pPr>
              <w:spacing w:before="40" w:after="40"/>
            </w:pPr>
            <w:r/>
            <w:r>
              <w:rPr>
                <w:rFonts w:ascii="Arial" w:hAnsi="Arial"/>
                <w:b w:val="0"/>
                <w:i w:val="0"/>
                <w:sz w:val="20"/>
              </w:rPr>
              <w:t>Microsoft 365 Copilot, ChatGPT Enterprise, Claude Enterprise</w:t>
            </w:r>
          </w:p>
        </w:tc>
      </w:tr>
      <w:tr>
        <w:tc>
          <w:tcPr>
            <w:tcW w:type="dxa" w:w="3312"/>
            <w:shd w:val="clear" w:color="auto" w:fill="EAEEF5"/>
          </w:tcPr>
          <w:p>
            <w:pPr>
              <w:spacing w:before="40" w:after="40"/>
            </w:pPr>
            <w:r/>
            <w:r>
              <w:rPr>
                <w:rFonts w:ascii="Arial" w:hAnsi="Arial"/>
                <w:b/>
                <w:i w:val="0"/>
                <w:color w:val="1F2A44"/>
                <w:sz w:val="20"/>
              </w:rPr>
              <w:t>The statement</w:t>
            </w:r>
          </w:p>
        </w:tc>
        <w:tc>
          <w:tcPr>
            <w:tcW w:type="dxa" w:w="6624"/>
          </w:tcPr>
          <w:p>
            <w:pPr>
              <w:spacing w:before="40" w:after="40"/>
            </w:pPr>
            <w:r/>
            <w:r>
              <w:rPr>
                <w:rFonts w:ascii="Arial" w:hAnsi="Arial"/>
                <w:b w:val="0"/>
                <w:i w:val="0"/>
                <w:sz w:val="20"/>
              </w:rPr>
              <w:t>Not a smarter chat window, an employee who happens to be software.</w:t>
            </w:r>
          </w:p>
        </w:tc>
      </w:tr>
      <w:tr>
        <w:tc>
          <w:tcPr>
            <w:tcW w:type="dxa" w:w="3312"/>
            <w:shd w:val="clear" w:color="auto" w:fill="EAEEF5"/>
          </w:tcPr>
          <w:p>
            <w:pPr>
              <w:spacing w:before="40" w:after="40"/>
            </w:pPr>
            <w:r/>
            <w:r>
              <w:rPr>
                <w:rFonts w:ascii="Arial" w:hAnsi="Arial"/>
                <w:b/>
                <w:i w:val="0"/>
                <w:color w:val="1F2A44"/>
                <w:sz w:val="20"/>
              </w:rPr>
              <w:t>Said in full</w:t>
            </w:r>
          </w:p>
        </w:tc>
        <w:tc>
          <w:tcPr>
            <w:tcW w:type="dxa" w:w="6624"/>
          </w:tcPr>
          <w:p>
            <w:pPr>
              <w:spacing w:before="40" w:after="40"/>
            </w:pPr>
            <w:r/>
            <w:r>
              <w:rPr>
                <w:rFonts w:ascii="Arial" w:hAnsi="Arial"/>
                <w:b w:val="0"/>
                <w:i w:val="0"/>
                <w:sz w:val="20"/>
              </w:rPr>
              <w:t>Copilot drafts inside a document and ChatGPT answers inside a tab. Both leave your people as the copy-paste layer between an AI and their actual job. Wolffish puts a persistent agent on each employee's own machine, with file and command permissions you scope and approval gates you set, so the work gets finished rather than started. The difference is not how clever the model is. It is what the model is allowed to touch.</w:t>
            </w:r>
          </w:p>
        </w:tc>
      </w:tr>
      <w:tr>
        <w:tc>
          <w:tcPr>
            <w:tcW w:type="dxa" w:w="3312"/>
            <w:shd w:val="clear" w:color="auto" w:fill="EAEEF5"/>
          </w:tcPr>
          <w:p>
            <w:pPr>
              <w:spacing w:before="40" w:after="40"/>
            </w:pPr>
            <w:r/>
            <w:r>
              <w:rPr>
                <w:rFonts w:ascii="Arial" w:hAnsi="Arial"/>
                <w:b/>
                <w:i w:val="0"/>
                <w:color w:val="1F2A44"/>
                <w:sz w:val="20"/>
              </w:rPr>
              <w:t>Web version</w:t>
            </w:r>
          </w:p>
        </w:tc>
        <w:tc>
          <w:tcPr>
            <w:tcW w:type="dxa" w:w="6624"/>
          </w:tcPr>
          <w:p>
            <w:pPr>
              <w:spacing w:before="40" w:after="40"/>
            </w:pPr>
            <w:r/>
            <w:r>
              <w:rPr>
                <w:rFonts w:ascii="Arial" w:hAnsi="Arial"/>
                <w:b w:val="0"/>
                <w:i w:val="0"/>
                <w:sz w:val="20"/>
              </w:rPr>
              <w:t>Chat drafts. Agents finish. One agent per employee, on their machine, with the permissions you set.</w:t>
            </w:r>
          </w:p>
        </w:tc>
      </w:tr>
    </w:tbl>
    <w:p>
      <w:pPr>
        <w:spacing w:before="0" w:after="80"/>
      </w:pPr>
      <w:r>
        <w:rPr>
          <w:rFonts w:ascii="Arial" w:hAnsi="Arial"/>
          <w:b w:val="0"/>
          <w:i w:val="0"/>
          <w:sz w:val="8"/>
        </w:rPr>
      </w:r>
    </w:p>
    <w:p>
      <w:pPr>
        <w:spacing w:before="240" w:after="80"/>
      </w:pPr>
      <w:r>
        <w:rPr>
          <w:rFonts w:ascii="Arial" w:hAnsi="Arial"/>
          <w:b/>
          <w:i w:val="0"/>
          <w:color w:val="1F2A44"/>
          <w:sz w:val="24"/>
        </w:rPr>
        <w:t>Statement 2: Against the residency answer every vendor gives</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Competing against</w:t>
            </w:r>
          </w:p>
        </w:tc>
        <w:tc>
          <w:tcPr>
            <w:tcW w:type="dxa" w:w="6624"/>
          </w:tcPr>
          <w:p>
            <w:pPr>
              <w:spacing w:before="40" w:after="40"/>
            </w:pPr>
            <w:r/>
            <w:r>
              <w:rPr>
                <w:rFonts w:ascii="Arial" w:hAnsi="Arial"/>
                <w:b w:val="0"/>
                <w:i w:val="0"/>
                <w:sz w:val="20"/>
              </w:rPr>
              <w:t>All four vendor clouds</w:t>
            </w:r>
          </w:p>
        </w:tc>
      </w:tr>
      <w:tr>
        <w:tc>
          <w:tcPr>
            <w:tcW w:type="dxa" w:w="3312"/>
            <w:shd w:val="clear" w:color="auto" w:fill="EAEEF5"/>
          </w:tcPr>
          <w:p>
            <w:pPr>
              <w:spacing w:before="40" w:after="40"/>
            </w:pPr>
            <w:r/>
            <w:r>
              <w:rPr>
                <w:rFonts w:ascii="Arial" w:hAnsi="Arial"/>
                <w:b/>
                <w:i w:val="0"/>
                <w:color w:val="1F2A44"/>
                <w:sz w:val="20"/>
              </w:rPr>
              <w:t>The statement</w:t>
            </w:r>
          </w:p>
        </w:tc>
        <w:tc>
          <w:tcPr>
            <w:tcW w:type="dxa" w:w="6624"/>
          </w:tcPr>
          <w:p>
            <w:pPr>
              <w:spacing w:before="40" w:after="40"/>
            </w:pPr>
            <w:r/>
            <w:r>
              <w:rPr>
                <w:rFonts w:ascii="Arial" w:hAnsi="Arial"/>
                <w:b w:val="0"/>
                <w:i w:val="0"/>
                <w:sz w:val="20"/>
              </w:rPr>
              <w:t>Not 'your data is resident', your data has nowhere to go.</w:t>
            </w:r>
          </w:p>
        </w:tc>
      </w:tr>
      <w:tr>
        <w:tc>
          <w:tcPr>
            <w:tcW w:type="dxa" w:w="3312"/>
            <w:shd w:val="clear" w:color="auto" w:fill="EAEEF5"/>
          </w:tcPr>
          <w:p>
            <w:pPr>
              <w:spacing w:before="40" w:after="40"/>
            </w:pPr>
            <w:r/>
            <w:r>
              <w:rPr>
                <w:rFonts w:ascii="Arial" w:hAnsi="Arial"/>
                <w:b/>
                <w:i w:val="0"/>
                <w:color w:val="1F2A44"/>
                <w:sz w:val="20"/>
              </w:rPr>
              <w:t>Said in full</w:t>
            </w:r>
          </w:p>
        </w:tc>
        <w:tc>
          <w:tcPr>
            <w:tcW w:type="dxa" w:w="6624"/>
          </w:tcPr>
          <w:p>
            <w:pPr>
              <w:spacing w:before="40" w:after="40"/>
            </w:pPr>
            <w:r/>
            <w:r>
              <w:rPr>
                <w:rFonts w:ascii="Arial" w:hAnsi="Arial"/>
                <w:b w:val="0"/>
                <w:i w:val="0"/>
                <w:sz w:val="20"/>
              </w:rPr>
              <w:t>Every vendor on your shortlist will offer you data residency. It is a contractual commitment about how they will handle your data after they receive it. Wolffish never receives it: agents execute on the employee's device and inference goes to a zero-retention endpoint on your own account. There is no path by which a prompt, a file or an output reaches us. That is why you do not need an SDAIA transfer mechanism for it, and why the answer survives a question your auditor has not thought of yet. Residency you can inspect, not residency you have to trust.</w:t>
            </w:r>
          </w:p>
        </w:tc>
      </w:tr>
      <w:tr>
        <w:tc>
          <w:tcPr>
            <w:tcW w:type="dxa" w:w="3312"/>
            <w:shd w:val="clear" w:color="auto" w:fill="EAEEF5"/>
          </w:tcPr>
          <w:p>
            <w:pPr>
              <w:spacing w:before="40" w:after="40"/>
            </w:pPr>
            <w:r/>
            <w:r>
              <w:rPr>
                <w:rFonts w:ascii="Arial" w:hAnsi="Arial"/>
                <w:b/>
                <w:i w:val="0"/>
                <w:color w:val="1F2A44"/>
                <w:sz w:val="20"/>
              </w:rPr>
              <w:t>Web version</w:t>
            </w:r>
          </w:p>
        </w:tc>
        <w:tc>
          <w:tcPr>
            <w:tcW w:type="dxa" w:w="6624"/>
          </w:tcPr>
          <w:p>
            <w:pPr>
              <w:spacing w:before="40" w:after="40"/>
            </w:pPr>
            <w:r/>
            <w:r>
              <w:rPr>
                <w:rFonts w:ascii="Arial" w:hAnsi="Arial"/>
                <w:b w:val="0"/>
                <w:i w:val="0"/>
                <w:sz w:val="20"/>
              </w:rPr>
              <w:t>Everyone offers residency. We offer the absence of a data path.</w:t>
            </w:r>
          </w:p>
        </w:tc>
      </w:tr>
      <w:tr>
        <w:tc>
          <w:tcPr>
            <w:tcW w:type="dxa" w:w="3312"/>
            <w:shd w:val="clear" w:color="auto" w:fill="EAEEF5"/>
          </w:tcPr>
          <w:p>
            <w:pPr>
              <w:spacing w:before="40" w:after="40"/>
            </w:pPr>
            <w:r/>
            <w:r>
              <w:rPr>
                <w:rFonts w:ascii="Arial" w:hAnsi="Arial"/>
                <w:b/>
                <w:i w:val="0"/>
                <w:color w:val="1F2A44"/>
                <w:sz w:val="20"/>
              </w:rPr>
              <w:t>Delivery note</w:t>
            </w:r>
          </w:p>
        </w:tc>
        <w:tc>
          <w:tcPr>
            <w:tcW w:type="dxa" w:w="6624"/>
          </w:tcPr>
          <w:p>
            <w:pPr>
              <w:spacing w:before="40" w:after="40"/>
            </w:pPr>
            <w:r/>
            <w:r>
              <w:rPr>
                <w:rFonts w:ascii="Arial" w:hAnsi="Arial"/>
                <w:b w:val="0"/>
                <w:i w:val="0"/>
                <w:sz w:val="20"/>
              </w:rPr>
              <w:t>This statement wins the security call, and its power collapses if it is delivered as a slogan. Deliver it as an architecture diagram the CISO can trace with a finger, then stop talking.</w:t>
            </w:r>
          </w:p>
        </w:tc>
      </w:tr>
    </w:tbl>
    <w:p>
      <w:pPr>
        <w:spacing w:before="0" w:after="80"/>
      </w:pPr>
      <w:r>
        <w:rPr>
          <w:rFonts w:ascii="Arial" w:hAnsi="Arial"/>
          <w:b w:val="0"/>
          <w:i w:val="0"/>
          <w:sz w:val="8"/>
        </w:rPr>
      </w:r>
    </w:p>
    <w:p>
      <w:pPr>
        <w:spacing w:before="240" w:after="80"/>
      </w:pPr>
      <w:r>
        <w:rPr>
          <w:rFonts w:ascii="Arial" w:hAnsi="Arial"/>
          <w:b/>
          <w:i w:val="0"/>
          <w:color w:val="1F2A44"/>
          <w:sz w:val="24"/>
        </w:rPr>
        <w:t>Statement 3: Against the metered agent stack</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Competing against</w:t>
            </w:r>
          </w:p>
        </w:tc>
        <w:tc>
          <w:tcPr>
            <w:tcW w:type="dxa" w:w="6624"/>
          </w:tcPr>
          <w:p>
            <w:pPr>
              <w:spacing w:before="40" w:after="40"/>
            </w:pPr>
            <w:r/>
            <w:r>
              <w:rPr>
                <w:rFonts w:ascii="Arial" w:hAnsi="Arial"/>
                <w:b w:val="0"/>
                <w:i w:val="0"/>
                <w:sz w:val="20"/>
              </w:rPr>
              <w:t>Anthropic, and increasingly all of them</w:t>
            </w:r>
          </w:p>
        </w:tc>
      </w:tr>
      <w:tr>
        <w:tc>
          <w:tcPr>
            <w:tcW w:type="dxa" w:w="3312"/>
            <w:shd w:val="clear" w:color="auto" w:fill="EAEEF5"/>
          </w:tcPr>
          <w:p>
            <w:pPr>
              <w:spacing w:before="40" w:after="40"/>
            </w:pPr>
            <w:r/>
            <w:r>
              <w:rPr>
                <w:rFonts w:ascii="Arial" w:hAnsi="Arial"/>
                <w:b/>
                <w:i w:val="0"/>
                <w:color w:val="1F2A44"/>
                <w:sz w:val="20"/>
              </w:rPr>
              <w:t>The statement</w:t>
            </w:r>
          </w:p>
        </w:tc>
        <w:tc>
          <w:tcPr>
            <w:tcW w:type="dxa" w:w="6624"/>
          </w:tcPr>
          <w:p>
            <w:pPr>
              <w:spacing w:before="40" w:after="40"/>
            </w:pPr>
            <w:r/>
            <w:r>
              <w:rPr>
                <w:rFonts w:ascii="Arial" w:hAnsi="Arial"/>
                <w:b w:val="0"/>
                <w:i w:val="0"/>
                <w:sz w:val="20"/>
              </w:rPr>
              <w:t>Not a cheaper invoice, an invoice you write instead of receive.</w:t>
            </w:r>
          </w:p>
        </w:tc>
      </w:tr>
      <w:tr>
        <w:tc>
          <w:tcPr>
            <w:tcW w:type="dxa" w:w="3312"/>
            <w:shd w:val="clear" w:color="auto" w:fill="EAEEF5"/>
          </w:tcPr>
          <w:p>
            <w:pPr>
              <w:spacing w:before="40" w:after="40"/>
            </w:pPr>
            <w:r/>
            <w:r>
              <w:rPr>
                <w:rFonts w:ascii="Arial" w:hAnsi="Arial"/>
                <w:b/>
                <w:i w:val="0"/>
                <w:color w:val="1F2A44"/>
                <w:sz w:val="20"/>
              </w:rPr>
              <w:t>Said in full</w:t>
            </w:r>
          </w:p>
        </w:tc>
        <w:tc>
          <w:tcPr>
            <w:tcW w:type="dxa" w:w="6624"/>
          </w:tcPr>
          <w:p>
            <w:pPr>
              <w:spacing w:before="40" w:after="40"/>
            </w:pPr>
            <w:r/>
            <w:r>
              <w:rPr>
                <w:rFonts w:ascii="Arial" w:hAnsi="Arial"/>
                <w:b w:val="0"/>
                <w:i w:val="0"/>
                <w:sz w:val="20"/>
              </w:rPr>
              <w:t>On a metered plan the more your agents work, the more you pay, so finance ends up rationing exactly the behaviour that creates the value. Uber exhausted its 2026 AI budget by April. Seventy-eight percent of IT leaders were surprised by a consumption charge this year. Wolffish inverts it: the seat is fixed at SAR 79, the token quota is a hard cap you set per person and per team, and inference bills to your own account at a rate twenty to fifty times below frontier models. Landed cost is SAR 124 to 184 per employee per month, everything counted, against roughly SAR 225 for a ChatGPT Enterprise seat with no agent in it. The saving is real. The forecastability is the point.</w:t>
            </w:r>
          </w:p>
        </w:tc>
      </w:tr>
      <w:tr>
        <w:tc>
          <w:tcPr>
            <w:tcW w:type="dxa" w:w="3312"/>
            <w:shd w:val="clear" w:color="auto" w:fill="EAEEF5"/>
          </w:tcPr>
          <w:p>
            <w:pPr>
              <w:spacing w:before="40" w:after="40"/>
            </w:pPr>
            <w:r/>
            <w:r>
              <w:rPr>
                <w:rFonts w:ascii="Arial" w:hAnsi="Arial"/>
                <w:b/>
                <w:i w:val="0"/>
                <w:color w:val="1F2A44"/>
                <w:sz w:val="20"/>
              </w:rPr>
              <w:t>Web version</w:t>
            </w:r>
          </w:p>
        </w:tc>
        <w:tc>
          <w:tcPr>
            <w:tcW w:type="dxa" w:w="6624"/>
          </w:tcPr>
          <w:p>
            <w:pPr>
              <w:spacing w:before="40" w:after="40"/>
            </w:pPr>
            <w:r/>
            <w:r>
              <w:rPr>
                <w:rFonts w:ascii="Arial" w:hAnsi="Arial"/>
                <w:b w:val="0"/>
                <w:i w:val="0"/>
                <w:sz w:val="20"/>
              </w:rPr>
              <w:t>Fixed seat. Hard quota. Your own inference account. A budget you decide, not a bill that arrives.</w:t>
            </w:r>
          </w:p>
        </w:tc>
      </w:tr>
    </w:tbl>
    <w:p>
      <w:pPr>
        <w:spacing w:before="0" w:after="80"/>
      </w:pPr>
      <w:r>
        <w:rPr>
          <w:rFonts w:ascii="Arial" w:hAnsi="Arial"/>
          <w:b w:val="0"/>
          <w:i w:val="0"/>
          <w:sz w:val="8"/>
        </w:rPr>
      </w:r>
    </w:p>
    <w:p>
      <w:pPr>
        <w:spacing w:before="240" w:after="80"/>
      </w:pPr>
      <w:r>
        <w:rPr>
          <w:rFonts w:ascii="Arial" w:hAnsi="Arial"/>
          <w:b/>
          <w:i w:val="0"/>
          <w:color w:val="1F2A44"/>
          <w:sz w:val="24"/>
        </w:rPr>
        <w:t>Statement 4: Against the systems integrator build</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Competing against</w:t>
            </w:r>
          </w:p>
        </w:tc>
        <w:tc>
          <w:tcPr>
            <w:tcW w:type="dxa" w:w="6624"/>
          </w:tcPr>
          <w:p>
            <w:pPr>
              <w:spacing w:before="40" w:after="40"/>
            </w:pPr>
            <w:r/>
            <w:r>
              <w:rPr>
                <w:rFonts w:ascii="Arial" w:hAnsi="Arial"/>
                <w:b w:val="0"/>
                <w:i w:val="0"/>
                <w:sz w:val="20"/>
              </w:rPr>
              <w:t>ejada, Elm, Solutions by stc, SITE, and the true competitor in most Wolffish deals</w:t>
            </w:r>
          </w:p>
        </w:tc>
      </w:tr>
      <w:tr>
        <w:tc>
          <w:tcPr>
            <w:tcW w:type="dxa" w:w="3312"/>
            <w:shd w:val="clear" w:color="auto" w:fill="EAEEF5"/>
          </w:tcPr>
          <w:p>
            <w:pPr>
              <w:spacing w:before="40" w:after="40"/>
            </w:pPr>
            <w:r/>
            <w:r>
              <w:rPr>
                <w:rFonts w:ascii="Arial" w:hAnsi="Arial"/>
                <w:b/>
                <w:i w:val="0"/>
                <w:color w:val="1F2A44"/>
                <w:sz w:val="20"/>
              </w:rPr>
              <w:t>The statement</w:t>
            </w:r>
          </w:p>
        </w:tc>
        <w:tc>
          <w:tcPr>
            <w:tcW w:type="dxa" w:w="6624"/>
          </w:tcPr>
          <w:p>
            <w:pPr>
              <w:spacing w:before="40" w:after="40"/>
            </w:pPr>
            <w:r/>
            <w:r>
              <w:rPr>
                <w:rFonts w:ascii="Arial" w:hAnsi="Arial"/>
                <w:b w:val="0"/>
                <w:i w:val="0"/>
                <w:sz w:val="20"/>
              </w:rPr>
              <w:t>Not a project that ends, a product that keeps arriving.</w:t>
            </w:r>
          </w:p>
        </w:tc>
      </w:tr>
      <w:tr>
        <w:tc>
          <w:tcPr>
            <w:tcW w:type="dxa" w:w="3312"/>
            <w:shd w:val="clear" w:color="auto" w:fill="EAEEF5"/>
          </w:tcPr>
          <w:p>
            <w:pPr>
              <w:spacing w:before="40" w:after="40"/>
            </w:pPr>
            <w:r/>
            <w:r>
              <w:rPr>
                <w:rFonts w:ascii="Arial" w:hAnsi="Arial"/>
                <w:b/>
                <w:i w:val="0"/>
                <w:color w:val="1F2A44"/>
                <w:sz w:val="20"/>
              </w:rPr>
              <w:t>Said in full</w:t>
            </w:r>
          </w:p>
        </w:tc>
        <w:tc>
          <w:tcPr>
            <w:tcW w:type="dxa" w:w="6624"/>
          </w:tcPr>
          <w:p>
            <w:pPr>
              <w:spacing w:before="40" w:after="40"/>
            </w:pPr>
            <w:r/>
            <w:r>
              <w:rPr>
                <w:rFonts w:ascii="Arial" w:hAnsi="Arial"/>
                <w:b w:val="0"/>
                <w:i w:val="0"/>
                <w:sz w:val="20"/>
              </w:rPr>
              <w:t>Your integrator can build this, and they will build it well, once. Then the second use case is a new statement of work, the fourth is a new procurement cycle, and by the third year you are maintaining a bespoke platform with people who have moved to another account. Wolffish is a product you deploy, not a project you commission: the deployment is fixed, the platform is SAR 79 per employee per month, and new agent capabilities are scoped and shipped inside the quarter under your allowance. When something better than today's model ships, you switch endpoint in a week rather than rebuilding. And if we disappear, source access and escrow mean your platform keeps running, which is a shorter answer than the one your integrator gives about staff continuity.</w:t>
            </w:r>
          </w:p>
        </w:tc>
      </w:tr>
      <w:tr>
        <w:tc>
          <w:tcPr>
            <w:tcW w:type="dxa" w:w="3312"/>
            <w:shd w:val="clear" w:color="auto" w:fill="EAEEF5"/>
          </w:tcPr>
          <w:p>
            <w:pPr>
              <w:spacing w:before="40" w:after="40"/>
            </w:pPr>
            <w:r/>
            <w:r>
              <w:rPr>
                <w:rFonts w:ascii="Arial" w:hAnsi="Arial"/>
                <w:b/>
                <w:i w:val="0"/>
                <w:color w:val="1F2A44"/>
                <w:sz w:val="20"/>
              </w:rPr>
              <w:t>Web version</w:t>
            </w:r>
          </w:p>
        </w:tc>
        <w:tc>
          <w:tcPr>
            <w:tcW w:type="dxa" w:w="6624"/>
          </w:tcPr>
          <w:p>
            <w:pPr>
              <w:spacing w:before="40" w:after="40"/>
            </w:pPr>
            <w:r/>
            <w:r>
              <w:rPr>
                <w:rFonts w:ascii="Arial" w:hAnsi="Arial"/>
                <w:b w:val="0"/>
                <w:i w:val="0"/>
                <w:sz w:val="20"/>
              </w:rPr>
              <w:t>An integrator sells you the first use case. We ship the next twelve inside the seat.</w:t>
            </w:r>
          </w:p>
        </w:tc>
      </w:tr>
      <w:tr>
        <w:tc>
          <w:tcPr>
            <w:tcW w:type="dxa" w:w="3312"/>
            <w:shd w:val="clear" w:color="auto" w:fill="EAEEF5"/>
          </w:tcPr>
          <w:p>
            <w:pPr>
              <w:spacing w:before="40" w:after="40"/>
            </w:pPr>
            <w:r/>
            <w:r>
              <w:rPr>
                <w:rFonts w:ascii="Arial" w:hAnsi="Arial"/>
                <w:b/>
                <w:i w:val="0"/>
                <w:color w:val="1F2A44"/>
                <w:sz w:val="20"/>
              </w:rPr>
              <w:t>Delivery note</w:t>
            </w:r>
          </w:p>
        </w:tc>
        <w:tc>
          <w:tcPr>
            <w:tcW w:type="dxa" w:w="6624"/>
          </w:tcPr>
          <w:p>
            <w:pPr>
              <w:spacing w:before="40" w:after="40"/>
            </w:pPr>
            <w:r/>
            <w:r>
              <w:rPr>
                <w:rFonts w:ascii="Arial" w:hAnsi="Arial"/>
                <w:b w:val="0"/>
                <w:i w:val="0"/>
                <w:sz w:val="20"/>
              </w:rPr>
              <w:t>This decides the most deals and is the one most likely to be skipped, because the integrator is rarely in the room and is rarely named as a competitor by the buyer. Ask directly: if you did this internally or with your integrator, who would own it in year three, and what does the fourth use case cost?</w:t>
            </w:r>
          </w:p>
        </w:tc>
      </w:tr>
    </w:tbl>
    <w:p>
      <w:pPr>
        <w:spacing w:before="0" w:after="80"/>
      </w:pPr>
      <w:r>
        <w:rPr>
          <w:rFonts w:ascii="Arial" w:hAnsi="Arial"/>
          <w:b w:val="0"/>
          <w:i w:val="0"/>
          <w:sz w:val="8"/>
        </w:rPr>
      </w:r>
    </w:p>
    <w:p>
      <w:pPr>
        <w:spacing w:before="240" w:after="80"/>
      </w:pPr>
      <w:r>
        <w:rPr>
          <w:rFonts w:ascii="Arial" w:hAnsi="Arial"/>
          <w:b/>
          <w:i w:val="0"/>
          <w:color w:val="1F2A44"/>
          <w:sz w:val="24"/>
        </w:rPr>
        <w:t>Statement 5: Against the sovereign national champion</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Competing against</w:t>
            </w:r>
          </w:p>
        </w:tc>
        <w:tc>
          <w:tcPr>
            <w:tcW w:type="dxa" w:w="6624"/>
          </w:tcPr>
          <w:p>
            <w:pPr>
              <w:spacing w:before="40" w:after="40"/>
            </w:pPr>
            <w:r/>
            <w:r>
              <w:rPr>
                <w:rFonts w:ascii="Arial" w:hAnsi="Arial"/>
                <w:b w:val="0"/>
                <w:i w:val="0"/>
                <w:sz w:val="20"/>
              </w:rPr>
              <w:t>HUMAIN, the hardest objection in the Kingdom and the one a generic framework has no answer for</w:t>
            </w:r>
          </w:p>
        </w:tc>
      </w:tr>
      <w:tr>
        <w:tc>
          <w:tcPr>
            <w:tcW w:type="dxa" w:w="3312"/>
            <w:shd w:val="clear" w:color="auto" w:fill="EAEEF5"/>
          </w:tcPr>
          <w:p>
            <w:pPr>
              <w:spacing w:before="40" w:after="40"/>
            </w:pPr>
            <w:r/>
            <w:r>
              <w:rPr>
                <w:rFonts w:ascii="Arial" w:hAnsi="Arial"/>
                <w:b/>
                <w:i w:val="0"/>
                <w:color w:val="1F2A44"/>
                <w:sz w:val="20"/>
              </w:rPr>
              <w:t>The statement</w:t>
            </w:r>
          </w:p>
        </w:tc>
        <w:tc>
          <w:tcPr>
            <w:tcW w:type="dxa" w:w="6624"/>
          </w:tcPr>
          <w:p>
            <w:pPr>
              <w:spacing w:before="40" w:after="40"/>
            </w:pPr>
            <w:r/>
            <w:r>
              <w:rPr>
                <w:rFonts w:ascii="Arial" w:hAnsi="Arial"/>
                <w:b w:val="0"/>
                <w:i w:val="0"/>
                <w:sz w:val="20"/>
              </w:rPr>
              <w:t>Not instead of the national platform, the layer that puts it on every desk.</w:t>
            </w:r>
          </w:p>
        </w:tc>
      </w:tr>
      <w:tr>
        <w:tc>
          <w:tcPr>
            <w:tcW w:type="dxa" w:w="3312"/>
            <w:shd w:val="clear" w:color="auto" w:fill="EAEEF5"/>
          </w:tcPr>
          <w:p>
            <w:pPr>
              <w:spacing w:before="40" w:after="40"/>
            </w:pPr>
            <w:r/>
            <w:r>
              <w:rPr>
                <w:rFonts w:ascii="Arial" w:hAnsi="Arial"/>
                <w:b/>
                <w:i w:val="0"/>
                <w:color w:val="1F2A44"/>
                <w:sz w:val="20"/>
              </w:rPr>
              <w:t>Said in full</w:t>
            </w:r>
          </w:p>
        </w:tc>
        <w:tc>
          <w:tcPr>
            <w:tcW w:type="dxa" w:w="6624"/>
          </w:tcPr>
          <w:p>
            <w:pPr>
              <w:spacing w:before="40" w:after="40"/>
            </w:pPr>
            <w:r/>
            <w:r>
              <w:rPr>
                <w:rFonts w:ascii="Arial" w:hAnsi="Arial"/>
                <w:b w:val="0"/>
                <w:i w:val="0"/>
                <w:sz w:val="20"/>
              </w:rPr>
              <w:t>HUMAIN is building the Kingdom's compute, its Arabic frontier model and its agent marketplace, and choosing it is a decision nobody is criticised for. We are not an alternative to that and we are not trying to be. Wolffish is model-portable by design: if you want ALLaM on an in-Kingdom endpoint, we run on it. What we add is the part a national platform is not built to do for one company: a persistent agent on each of your employees' machines, wired into your own undocumented admin tool, with your quotas, your approval gates and your audit log. Sovereign infrastructure and a deployed workforce are different products. You will most likely buy both.</w:t>
            </w:r>
          </w:p>
        </w:tc>
      </w:tr>
      <w:tr>
        <w:tc>
          <w:tcPr>
            <w:tcW w:type="dxa" w:w="3312"/>
            <w:shd w:val="clear" w:color="auto" w:fill="EAEEF5"/>
          </w:tcPr>
          <w:p>
            <w:pPr>
              <w:spacing w:before="40" w:after="40"/>
            </w:pPr>
            <w:r/>
            <w:r>
              <w:rPr>
                <w:rFonts w:ascii="Arial" w:hAnsi="Arial"/>
                <w:b/>
                <w:i w:val="0"/>
                <w:color w:val="1F2A44"/>
                <w:sz w:val="20"/>
              </w:rPr>
              <w:t>Web version</w:t>
            </w:r>
          </w:p>
        </w:tc>
        <w:tc>
          <w:tcPr>
            <w:tcW w:type="dxa" w:w="6624"/>
          </w:tcPr>
          <w:p>
            <w:pPr>
              <w:spacing w:before="40" w:after="40"/>
            </w:pPr>
            <w:r/>
            <w:r>
              <w:rPr>
                <w:rFonts w:ascii="Arial" w:hAnsi="Arial"/>
                <w:b w:val="0"/>
                <w:i w:val="0"/>
                <w:sz w:val="20"/>
              </w:rPr>
              <w:t>Sovereign models are infrastructure. We are the layer that puts them on every desk, inside your perimeter.</w:t>
            </w:r>
          </w:p>
        </w:tc>
      </w:tr>
      <w:tr>
        <w:tc>
          <w:tcPr>
            <w:tcW w:type="dxa" w:w="3312"/>
            <w:shd w:val="clear" w:color="auto" w:fill="EAEEF5"/>
          </w:tcPr>
          <w:p>
            <w:pPr>
              <w:spacing w:before="40" w:after="40"/>
            </w:pPr>
            <w:r/>
            <w:r>
              <w:rPr>
                <w:rFonts w:ascii="Arial" w:hAnsi="Arial"/>
                <w:b/>
                <w:i w:val="0"/>
                <w:color w:val="1F2A44"/>
                <w:sz w:val="20"/>
              </w:rPr>
              <w:t>Delivery note</w:t>
            </w:r>
          </w:p>
        </w:tc>
        <w:tc>
          <w:tcPr>
            <w:tcW w:type="dxa" w:w="6624"/>
          </w:tcPr>
          <w:p>
            <w:pPr>
              <w:spacing w:before="40" w:after="40"/>
            </w:pPr>
            <w:r/>
            <w:r>
              <w:rPr>
                <w:rFonts w:ascii="Arial" w:hAnsi="Arial"/>
                <w:b w:val="0"/>
                <w:i w:val="0"/>
                <w:sz w:val="20"/>
              </w:rPr>
              <w:t>The most important tactical instruction in this framework. Never position against HUMAIN. The gap on sovereign legitimacy is 9.8 to 6.8 and it cannot be closed, only made irrelevant. The instinct to claim you are more sovereign than the sovereign champion is both false and, in this market, faintly insulting. Answer the question before it is asked, in the security call, in one sentence, and move on.</w:t>
            </w:r>
          </w:p>
        </w:tc>
      </w:tr>
    </w:tbl>
    <w:p>
      <w:pPr>
        <w:spacing w:before="0" w:after="80"/>
      </w:pPr>
      <w:r>
        <w:rPr>
          <w:rFonts w:ascii="Arial" w:hAnsi="Arial"/>
          <w:b w:val="0"/>
          <w:i w:val="0"/>
          <w:sz w:val="8"/>
        </w:rPr>
      </w:r>
    </w:p>
    <w:p>
      <w:pPr>
        <w:spacing w:before="240" w:after="80"/>
      </w:pPr>
      <w:r>
        <w:rPr>
          <w:rFonts w:ascii="Arial" w:hAnsi="Arial"/>
          <w:b/>
          <w:i w:val="0"/>
          <w:color w:val="1F2A44"/>
          <w:sz w:val="24"/>
        </w:rPr>
        <w:t>Statement 6: Against the status quo</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Competing against</w:t>
            </w:r>
          </w:p>
        </w:tc>
        <w:tc>
          <w:tcPr>
            <w:tcW w:type="dxa" w:w="6624"/>
          </w:tcPr>
          <w:p>
            <w:pPr>
              <w:spacing w:before="40" w:after="40"/>
            </w:pPr>
            <w:r/>
            <w:r>
              <w:rPr>
                <w:rFonts w:ascii="Arial" w:hAnsi="Arial"/>
                <w:b w:val="0"/>
                <w:i w:val="0"/>
                <w:sz w:val="20"/>
              </w:rPr>
              <w:t>Doing nothing, shadow AI, and the internal open-source build</w:t>
            </w:r>
          </w:p>
        </w:tc>
      </w:tr>
      <w:tr>
        <w:tc>
          <w:tcPr>
            <w:tcW w:type="dxa" w:w="3312"/>
            <w:shd w:val="clear" w:color="auto" w:fill="EAEEF5"/>
          </w:tcPr>
          <w:p>
            <w:pPr>
              <w:spacing w:before="40" w:after="40"/>
            </w:pPr>
            <w:r/>
            <w:r>
              <w:rPr>
                <w:rFonts w:ascii="Arial" w:hAnsi="Arial"/>
                <w:b/>
                <w:i w:val="0"/>
                <w:color w:val="1F2A44"/>
                <w:sz w:val="20"/>
              </w:rPr>
              <w:t>The statement</w:t>
            </w:r>
          </w:p>
        </w:tc>
        <w:tc>
          <w:tcPr>
            <w:tcW w:type="dxa" w:w="6624"/>
          </w:tcPr>
          <w:p>
            <w:pPr>
              <w:spacing w:before="40" w:after="40"/>
            </w:pPr>
            <w:r/>
            <w:r>
              <w:rPr>
                <w:rFonts w:ascii="Arial" w:hAnsi="Arial"/>
                <w:b w:val="0"/>
                <w:i w:val="0"/>
                <w:sz w:val="20"/>
              </w:rPr>
              <w:t>Not 'you have no AI', you have AI you cannot see, cannot cap and cannot audit.</w:t>
            </w:r>
          </w:p>
        </w:tc>
      </w:tr>
      <w:tr>
        <w:tc>
          <w:tcPr>
            <w:tcW w:type="dxa" w:w="3312"/>
            <w:shd w:val="clear" w:color="auto" w:fill="EAEEF5"/>
          </w:tcPr>
          <w:p>
            <w:pPr>
              <w:spacing w:before="40" w:after="40"/>
            </w:pPr>
            <w:r/>
            <w:r>
              <w:rPr>
                <w:rFonts w:ascii="Arial" w:hAnsi="Arial"/>
                <w:b/>
                <w:i w:val="0"/>
                <w:color w:val="1F2A44"/>
                <w:sz w:val="20"/>
              </w:rPr>
              <w:t>Said in full</w:t>
            </w:r>
          </w:p>
        </w:tc>
        <w:tc>
          <w:tcPr>
            <w:tcW w:type="dxa" w:w="6624"/>
          </w:tcPr>
          <w:p>
            <w:pPr>
              <w:spacing w:before="40" w:after="40"/>
            </w:pPr>
            <w:r/>
            <w:r>
              <w:rPr>
                <w:rFonts w:ascii="Arial" w:hAnsi="Arial"/>
                <w:b w:val="0"/>
                <w:i w:val="0"/>
                <w:sz w:val="20"/>
              </w:rPr>
              <w:t>The choice in front of you is not whether your people use AI. Eighty-one percent of Saudi enterprises already deploy it, and the ones who have not sanctioned it have it anyway, on personal accounts, with company data in the prompt and no transfer basis on file. The realistic alternatives are three: keep the shadow estate and hope nobody audits it; assemble an open-source stack internally, which works until the first NCA or SAMA review asks for attributed action-level audit and enforced quotas; or deploy something with the controls already in it. All three cost money. Only one of them produces the artefacts a regulator asks for. Let us show you what your exposure looks like this month, free, and you can decide after that.</w:t>
            </w:r>
          </w:p>
        </w:tc>
      </w:tr>
      <w:tr>
        <w:tc>
          <w:tcPr>
            <w:tcW w:type="dxa" w:w="3312"/>
            <w:shd w:val="clear" w:color="auto" w:fill="EAEEF5"/>
          </w:tcPr>
          <w:p>
            <w:pPr>
              <w:spacing w:before="40" w:after="40"/>
            </w:pPr>
            <w:r/>
            <w:r>
              <w:rPr>
                <w:rFonts w:ascii="Arial" w:hAnsi="Arial"/>
                <w:b/>
                <w:i w:val="0"/>
                <w:color w:val="1F2A44"/>
                <w:sz w:val="20"/>
              </w:rPr>
              <w:t>Web version</w:t>
            </w:r>
          </w:p>
        </w:tc>
        <w:tc>
          <w:tcPr>
            <w:tcW w:type="dxa" w:w="6624"/>
          </w:tcPr>
          <w:p>
            <w:pPr>
              <w:spacing w:before="40" w:after="40"/>
            </w:pPr>
            <w:r/>
            <w:r>
              <w:rPr>
                <w:rFonts w:ascii="Arial" w:hAnsi="Arial"/>
                <w:b w:val="0"/>
                <w:i w:val="0"/>
                <w:sz w:val="20"/>
              </w:rPr>
              <w:t>Your people already use AI. The only question is whether you can see it, cap it and audit it.</w:t>
            </w:r>
          </w:p>
        </w:tc>
      </w:tr>
    </w:tbl>
    <w:p>
      <w:pPr>
        <w:spacing w:before="0" w:after="80"/>
      </w:pPr>
      <w:r>
        <w:rPr>
          <w:rFonts w:ascii="Arial" w:hAnsi="Arial"/>
          <w:b w:val="0"/>
          <w:i w:val="0"/>
          <w:sz w:val="8"/>
        </w:rPr>
      </w:r>
    </w:p>
    <w:p>
      <w:pPr>
        <w:spacing w:before="320" w:after="80"/>
      </w:pPr>
      <w:r>
        <w:rPr>
          <w:rFonts w:ascii="Arial" w:hAnsi="Arial"/>
          <w:b/>
          <w:i w:val="0"/>
          <w:color w:val="1F2A44"/>
          <w:sz w:val="30"/>
        </w:rPr>
        <w:t>Message Hierarchy</w:t>
      </w:r>
    </w:p>
    <w:p>
      <w:pPr>
        <w:spacing w:before="0" w:after="160"/>
      </w:pPr>
      <w:r>
        <w:rPr>
          <w:rFonts w:ascii="Arial" w:hAnsi="Arial"/>
          <w:b w:val="0"/>
          <w:i/>
          <w:color w:val="666666"/>
          <w:sz w:val="17"/>
        </w:rPr>
        <w:t>Ordered by who is in the room. Never deliver more than two levels in one meeting. The wrong message in the right chair is the most common avoidable failure in a Saudi enterprise sale.</w:t>
      </w:r>
    </w:p>
    <w:tbl>
      <w:tblPr>
        <w:tblStyle w:val="TableGrid"/>
        <w:tblW w:type="auto" w:w="0"/>
        <w:tblLook w:firstColumn="1" w:firstRow="1" w:lastColumn="0" w:lastRow="0" w:noHBand="0" w:noVBand="1" w:val="04A0"/>
      </w:tblPr>
      <w:tblGrid>
        <w:gridCol w:w="2484"/>
        <w:gridCol w:w="2484"/>
        <w:gridCol w:w="2484"/>
        <w:gridCol w:w="2484"/>
      </w:tblGrid>
      <w:tr>
        <w:tc>
          <w:tcPr>
            <w:tcW w:type="dxa" w:w="2448"/>
            <w:shd w:val="clear" w:color="auto" w:fill="1F2A44"/>
          </w:tcPr>
          <w:p>
            <w:pPr>
              <w:spacing w:before="40" w:after="40"/>
            </w:pPr>
            <w:r/>
            <w:r>
              <w:rPr>
                <w:rFonts w:ascii="Arial" w:hAnsi="Arial"/>
                <w:b/>
                <w:i w:val="0"/>
                <w:color w:val="FFFFFF"/>
                <w:sz w:val="20"/>
              </w:rPr>
              <w:t>Audience</w:t>
            </w:r>
          </w:p>
        </w:tc>
        <w:tc>
          <w:tcPr>
            <w:tcW w:type="dxa" w:w="3600"/>
            <w:shd w:val="clear" w:color="auto" w:fill="1F2A44"/>
          </w:tcPr>
          <w:p>
            <w:pPr>
              <w:spacing w:before="40" w:after="40"/>
            </w:pPr>
            <w:r/>
            <w:r>
              <w:rPr>
                <w:rFonts w:ascii="Arial" w:hAnsi="Arial"/>
                <w:b/>
                <w:i w:val="0"/>
                <w:color w:val="FFFFFF"/>
                <w:sz w:val="20"/>
              </w:rPr>
              <w:t>Lead with</w:t>
            </w:r>
          </w:p>
        </w:tc>
        <w:tc>
          <w:tcPr>
            <w:tcW w:type="dxa" w:w="864"/>
            <w:shd w:val="clear" w:color="auto" w:fill="1F2A44"/>
          </w:tcPr>
          <w:p>
            <w:pPr>
              <w:spacing w:before="40" w:after="40"/>
            </w:pPr>
            <w:r/>
            <w:r>
              <w:rPr>
                <w:rFonts w:ascii="Arial" w:hAnsi="Arial"/>
                <w:b/>
                <w:i w:val="0"/>
                <w:color w:val="FFFFFF"/>
                <w:sz w:val="20"/>
              </w:rPr>
              <w:t>Statement</w:t>
            </w:r>
          </w:p>
        </w:tc>
        <w:tc>
          <w:tcPr>
            <w:tcW w:type="dxa" w:w="3024"/>
            <w:shd w:val="clear" w:color="auto" w:fill="1F2A44"/>
          </w:tcPr>
          <w:p>
            <w:pPr>
              <w:spacing w:before="40" w:after="40"/>
            </w:pPr>
            <w:r/>
            <w:r>
              <w:rPr>
                <w:rFonts w:ascii="Arial" w:hAnsi="Arial"/>
                <w:b/>
                <w:i w:val="0"/>
                <w:color w:val="FFFFFF"/>
                <w:sz w:val="20"/>
              </w:rPr>
              <w:t>Never lead with</w:t>
            </w:r>
          </w:p>
        </w:tc>
      </w:tr>
      <w:tr>
        <w:tc>
          <w:tcPr>
            <w:tcW w:type="dxa" w:w="2448"/>
            <w:shd w:val="clear" w:color="auto" w:fill="EAEEF5"/>
          </w:tcPr>
          <w:p>
            <w:pPr>
              <w:spacing w:before="40" w:after="40"/>
            </w:pPr>
            <w:r/>
            <w:r>
              <w:rPr>
                <w:rFonts w:ascii="Arial" w:hAnsi="Arial"/>
                <w:b/>
                <w:i w:val="0"/>
                <w:color w:val="1F2A44"/>
                <w:sz w:val="20"/>
              </w:rPr>
              <w:t>1. CISO / Head of Information Security</w:t>
            </w:r>
          </w:p>
        </w:tc>
        <w:tc>
          <w:tcPr>
            <w:tcW w:type="dxa" w:w="3600"/>
          </w:tcPr>
          <w:p>
            <w:pPr>
              <w:spacing w:before="40" w:after="40"/>
            </w:pPr>
            <w:r/>
            <w:r>
              <w:rPr>
                <w:rFonts w:ascii="Arial" w:hAnsi="Arial"/>
                <w:b w:val="0"/>
                <w:i w:val="0"/>
                <w:sz w:val="20"/>
              </w:rPr>
              <w:t>No data path out; PDPL without a transfer mechanism; the NCA and NDMO evidence pack</w:t>
            </w:r>
          </w:p>
        </w:tc>
        <w:tc>
          <w:tcPr>
            <w:tcW w:type="dxa" w:w="864"/>
          </w:tcPr>
          <w:p>
            <w:pPr>
              <w:spacing w:before="40" w:after="40"/>
            </w:pPr>
            <w:r/>
            <w:r>
              <w:rPr>
                <w:rFonts w:ascii="Arial" w:hAnsi="Arial"/>
                <w:b w:val="0"/>
                <w:i w:val="0"/>
                <w:sz w:val="20"/>
              </w:rPr>
              <w:t>2</w:t>
            </w:r>
          </w:p>
        </w:tc>
        <w:tc>
          <w:tcPr>
            <w:tcW w:type="dxa" w:w="3024"/>
          </w:tcPr>
          <w:p>
            <w:pPr>
              <w:spacing w:before="40" w:after="40"/>
            </w:pPr>
            <w:r/>
            <w:r>
              <w:rPr>
                <w:rFonts w:ascii="Arial" w:hAnsi="Arial"/>
                <w:b w:val="0"/>
                <w:i w:val="0"/>
                <w:sz w:val="20"/>
              </w:rPr>
              <w:t>Cost. It signals the project is small.</w:t>
            </w:r>
          </w:p>
        </w:tc>
      </w:tr>
      <w:tr>
        <w:tc>
          <w:tcPr>
            <w:tcW w:type="dxa" w:w="2448"/>
            <w:shd w:val="clear" w:color="auto" w:fill="EAEEF5"/>
          </w:tcPr>
          <w:p>
            <w:pPr>
              <w:spacing w:before="40" w:after="40"/>
            </w:pPr>
            <w:r/>
            <w:r>
              <w:rPr>
                <w:rFonts w:ascii="Arial" w:hAnsi="Arial"/>
                <w:b/>
                <w:i w:val="0"/>
                <w:color w:val="1F2A44"/>
                <w:sz w:val="20"/>
              </w:rPr>
              <w:t>2. CFO / Finance Director</w:t>
            </w:r>
          </w:p>
        </w:tc>
        <w:tc>
          <w:tcPr>
            <w:tcW w:type="dxa" w:w="3600"/>
          </w:tcPr>
          <w:p>
            <w:pPr>
              <w:spacing w:before="40" w:after="40"/>
            </w:pPr>
            <w:r/>
            <w:r>
              <w:rPr>
                <w:rFonts w:ascii="Arial" w:hAnsi="Arial"/>
                <w:b w:val="0"/>
                <w:i w:val="0"/>
                <w:sz w:val="20"/>
              </w:rPr>
              <w:t>Landed cost per employee, fixed and forecastable; the hard quota; inference on your own account</w:t>
            </w:r>
          </w:p>
        </w:tc>
        <w:tc>
          <w:tcPr>
            <w:tcW w:type="dxa" w:w="864"/>
          </w:tcPr>
          <w:p>
            <w:pPr>
              <w:spacing w:before="40" w:after="40"/>
            </w:pPr>
            <w:r/>
            <w:r>
              <w:rPr>
                <w:rFonts w:ascii="Arial" w:hAnsi="Arial"/>
                <w:b w:val="0"/>
                <w:i w:val="0"/>
                <w:sz w:val="20"/>
              </w:rPr>
              <w:t>3</w:t>
            </w:r>
          </w:p>
        </w:tc>
        <w:tc>
          <w:tcPr>
            <w:tcW w:type="dxa" w:w="3024"/>
          </w:tcPr>
          <w:p>
            <w:pPr>
              <w:spacing w:before="40" w:after="40"/>
            </w:pPr>
            <w:r/>
            <w:r>
              <w:rPr>
                <w:rFonts w:ascii="Arial" w:hAnsi="Arial"/>
                <w:b w:val="0"/>
                <w:i w:val="0"/>
                <w:sz w:val="20"/>
              </w:rPr>
              <w:t>Model capability. They do not care, and it invites a comparison you lose.</w:t>
            </w:r>
          </w:p>
        </w:tc>
      </w:tr>
      <w:tr>
        <w:tc>
          <w:tcPr>
            <w:tcW w:type="dxa" w:w="2448"/>
            <w:shd w:val="clear" w:color="auto" w:fill="EAEEF5"/>
          </w:tcPr>
          <w:p>
            <w:pPr>
              <w:spacing w:before="40" w:after="40"/>
            </w:pPr>
            <w:r/>
            <w:r>
              <w:rPr>
                <w:rFonts w:ascii="Arial" w:hAnsi="Arial"/>
                <w:b/>
                <w:i w:val="0"/>
                <w:color w:val="1F2A44"/>
                <w:sz w:val="20"/>
              </w:rPr>
              <w:t>3. CEO / Managing Director / owner</w:t>
            </w:r>
          </w:p>
        </w:tc>
        <w:tc>
          <w:tcPr>
            <w:tcW w:type="dxa" w:w="3600"/>
          </w:tcPr>
          <w:p>
            <w:pPr>
              <w:spacing w:before="40" w:after="40"/>
            </w:pPr>
            <w:r/>
            <w:r>
              <w:rPr>
                <w:rFonts w:ascii="Arial" w:hAnsi="Arial"/>
                <w:b w:val="0"/>
                <w:i w:val="0"/>
                <w:sz w:val="20"/>
              </w:rPr>
              <w:t>An agent per employee; weeks not quarters; a Saudi supplier; Vision 2030 alignment without the programme overhead</w:t>
            </w:r>
          </w:p>
        </w:tc>
        <w:tc>
          <w:tcPr>
            <w:tcW w:type="dxa" w:w="864"/>
          </w:tcPr>
          <w:p>
            <w:pPr>
              <w:spacing w:before="40" w:after="40"/>
            </w:pPr>
            <w:r/>
            <w:r>
              <w:rPr>
                <w:rFonts w:ascii="Arial" w:hAnsi="Arial"/>
                <w:b w:val="0"/>
                <w:i w:val="0"/>
                <w:sz w:val="20"/>
              </w:rPr>
              <w:t>1</w:t>
            </w:r>
          </w:p>
        </w:tc>
        <w:tc>
          <w:tcPr>
            <w:tcW w:type="dxa" w:w="3024"/>
          </w:tcPr>
          <w:p>
            <w:pPr>
              <w:spacing w:before="40" w:after="40"/>
            </w:pPr>
            <w:r/>
            <w:r>
              <w:rPr>
                <w:rFonts w:ascii="Arial" w:hAnsi="Arial"/>
                <w:b w:val="0"/>
                <w:i w:val="0"/>
                <w:sz w:val="20"/>
              </w:rPr>
              <w:t>Architecture. Give them the outcome and the timeline.</w:t>
            </w:r>
          </w:p>
        </w:tc>
      </w:tr>
      <w:tr>
        <w:tc>
          <w:tcPr>
            <w:tcW w:type="dxa" w:w="2448"/>
            <w:shd w:val="clear" w:color="auto" w:fill="EAEEF5"/>
          </w:tcPr>
          <w:p>
            <w:pPr>
              <w:spacing w:before="40" w:after="40"/>
            </w:pPr>
            <w:r/>
            <w:r>
              <w:rPr>
                <w:rFonts w:ascii="Arial" w:hAnsi="Arial"/>
                <w:b/>
                <w:i w:val="0"/>
                <w:color w:val="1F2A44"/>
                <w:sz w:val="20"/>
              </w:rPr>
              <w:t>4. CIO / Head of Digital</w:t>
            </w:r>
          </w:p>
        </w:tc>
        <w:tc>
          <w:tcPr>
            <w:tcW w:type="dxa" w:w="3600"/>
          </w:tcPr>
          <w:p>
            <w:pPr>
              <w:spacing w:before="40" w:after="40"/>
            </w:pPr>
            <w:r/>
            <w:r>
              <w:rPr>
                <w:rFonts w:ascii="Arial" w:hAnsi="Arial"/>
                <w:b w:val="0"/>
                <w:i w:val="0"/>
                <w:sz w:val="20"/>
              </w:rPr>
              <w:t>The integrator question; capability development inside the seat; model portability; escrow</w:t>
            </w:r>
          </w:p>
        </w:tc>
        <w:tc>
          <w:tcPr>
            <w:tcW w:type="dxa" w:w="864"/>
          </w:tcPr>
          <w:p>
            <w:pPr>
              <w:spacing w:before="40" w:after="40"/>
            </w:pPr>
            <w:r/>
            <w:r>
              <w:rPr>
                <w:rFonts w:ascii="Arial" w:hAnsi="Arial"/>
                <w:b w:val="0"/>
                <w:i w:val="0"/>
                <w:sz w:val="20"/>
              </w:rPr>
              <w:t>4</w:t>
            </w:r>
          </w:p>
        </w:tc>
        <w:tc>
          <w:tcPr>
            <w:tcW w:type="dxa" w:w="3024"/>
          </w:tcPr>
          <w:p>
            <w:pPr>
              <w:spacing w:before="40" w:after="40"/>
            </w:pPr>
            <w:r/>
            <w:r>
              <w:rPr>
                <w:rFonts w:ascii="Arial" w:hAnsi="Arial"/>
                <w:b w:val="0"/>
                <w:i w:val="0"/>
                <w:sz w:val="20"/>
              </w:rPr>
              <w:t>Sovereignty. They will assume you mean HUMAIN and stop listening.</w:t>
            </w:r>
          </w:p>
        </w:tc>
      </w:tr>
      <w:tr>
        <w:tc>
          <w:tcPr>
            <w:tcW w:type="dxa" w:w="2448"/>
            <w:shd w:val="clear" w:color="auto" w:fill="EAEEF5"/>
          </w:tcPr>
          <w:p>
            <w:pPr>
              <w:spacing w:before="40" w:after="40"/>
            </w:pPr>
            <w:r/>
            <w:r>
              <w:rPr>
                <w:rFonts w:ascii="Arial" w:hAnsi="Arial"/>
                <w:b/>
                <w:i w:val="0"/>
                <w:color w:val="1F2A44"/>
                <w:sz w:val="20"/>
              </w:rPr>
              <w:t>5. Anyone asking 'why not HUMAIN?'</w:t>
            </w:r>
          </w:p>
        </w:tc>
        <w:tc>
          <w:tcPr>
            <w:tcW w:type="dxa" w:w="3600"/>
          </w:tcPr>
          <w:p>
            <w:pPr>
              <w:spacing w:before="40" w:after="40"/>
            </w:pPr>
            <w:r/>
            <w:r>
              <w:rPr>
                <w:rFonts w:ascii="Arial" w:hAnsi="Arial"/>
                <w:b w:val="0"/>
                <w:i w:val="0"/>
                <w:sz w:val="20"/>
              </w:rPr>
              <w:t>We run on ALLaM if you want; different products; you will buy both</w:t>
            </w:r>
          </w:p>
        </w:tc>
        <w:tc>
          <w:tcPr>
            <w:tcW w:type="dxa" w:w="864"/>
          </w:tcPr>
          <w:p>
            <w:pPr>
              <w:spacing w:before="40" w:after="40"/>
            </w:pPr>
            <w:r/>
            <w:r>
              <w:rPr>
                <w:rFonts w:ascii="Arial" w:hAnsi="Arial"/>
                <w:b w:val="0"/>
                <w:i w:val="0"/>
                <w:sz w:val="20"/>
              </w:rPr>
              <w:t>5</w:t>
            </w:r>
          </w:p>
        </w:tc>
        <w:tc>
          <w:tcPr>
            <w:tcW w:type="dxa" w:w="3024"/>
          </w:tcPr>
          <w:p>
            <w:pPr>
              <w:spacing w:before="40" w:after="40"/>
            </w:pPr>
            <w:r/>
            <w:r>
              <w:rPr>
                <w:rFonts w:ascii="Arial" w:hAnsi="Arial"/>
                <w:b w:val="0"/>
                <w:i w:val="0"/>
                <w:sz w:val="20"/>
              </w:rPr>
              <w:t>Any comparison at all. One sentence, then move.</w:t>
            </w:r>
          </w:p>
        </w:tc>
      </w:tr>
      <w:tr>
        <w:tc>
          <w:tcPr>
            <w:tcW w:type="dxa" w:w="2448"/>
            <w:shd w:val="clear" w:color="auto" w:fill="EAEEF5"/>
          </w:tcPr>
          <w:p>
            <w:pPr>
              <w:spacing w:before="40" w:after="40"/>
            </w:pPr>
            <w:r/>
            <w:r>
              <w:rPr>
                <w:rFonts w:ascii="Arial" w:hAnsi="Arial"/>
                <w:b/>
                <w:i w:val="0"/>
                <w:color w:val="1F2A44"/>
                <w:sz w:val="20"/>
              </w:rPr>
              <w:t>6. Anyone who has not started</w:t>
            </w:r>
          </w:p>
        </w:tc>
        <w:tc>
          <w:tcPr>
            <w:tcW w:type="dxa" w:w="3600"/>
          </w:tcPr>
          <w:p>
            <w:pPr>
              <w:spacing w:before="40" w:after="40"/>
            </w:pPr>
            <w:r/>
            <w:r>
              <w:rPr>
                <w:rFonts w:ascii="Arial" w:hAnsi="Arial"/>
                <w:b w:val="0"/>
                <w:i w:val="0"/>
                <w:sz w:val="20"/>
              </w:rPr>
              <w:t>Shadow estate exposure; the free audit</w:t>
            </w:r>
          </w:p>
        </w:tc>
        <w:tc>
          <w:tcPr>
            <w:tcW w:type="dxa" w:w="864"/>
          </w:tcPr>
          <w:p>
            <w:pPr>
              <w:spacing w:before="40" w:after="40"/>
            </w:pPr>
            <w:r/>
            <w:r>
              <w:rPr>
                <w:rFonts w:ascii="Arial" w:hAnsi="Arial"/>
                <w:b w:val="0"/>
                <w:i w:val="0"/>
                <w:sz w:val="20"/>
              </w:rPr>
              <w:t>6</w:t>
            </w:r>
          </w:p>
        </w:tc>
        <w:tc>
          <w:tcPr>
            <w:tcW w:type="dxa" w:w="3024"/>
          </w:tcPr>
          <w:p>
            <w:pPr>
              <w:spacing w:before="40" w:after="40"/>
            </w:pPr>
            <w:r/>
            <w:r>
              <w:rPr>
                <w:rFonts w:ascii="Arial" w:hAnsi="Arial"/>
                <w:b w:val="0"/>
                <w:i w:val="0"/>
                <w:sz w:val="20"/>
              </w:rPr>
              <w:t>Product. Sell the diagnostic.</w:t>
            </w:r>
          </w:p>
        </w:tc>
      </w:tr>
    </w:tbl>
    <w:p>
      <w:pPr>
        <w:spacing w:before="320" w:after="80"/>
      </w:pPr>
      <w:r>
        <w:rPr>
          <w:rFonts w:ascii="Arial" w:hAnsi="Arial"/>
          <w:b/>
          <w:i w:val="0"/>
          <w:color w:val="1F2A44"/>
          <w:sz w:val="30"/>
        </w:rPr>
        <w:t>The 'We Are Not' List</w:t>
      </w:r>
    </w:p>
    <w:p>
      <w:pPr>
        <w:spacing w:before="0" w:after="160"/>
      </w:pPr>
      <w:r>
        <w:rPr>
          <w:rFonts w:ascii="Arial" w:hAnsi="Arial"/>
          <w:b w:val="0"/>
          <w:i/>
          <w:color w:val="666666"/>
          <w:sz w:val="17"/>
        </w:rPr>
        <w:t>Saying these plainly, early and unprompted is what makes everything else believable. In a market where every vendor overclaims, the disqualifier is the credibility instrument.</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We are not the best model</w:t>
            </w:r>
          </w:p>
        </w:tc>
        <w:tc>
          <w:tcPr>
            <w:tcW w:type="dxa" w:w="6624"/>
          </w:tcPr>
          <w:p>
            <w:pPr>
              <w:spacing w:before="40" w:after="40"/>
            </w:pPr>
            <w:r/>
            <w:r>
              <w:rPr>
                <w:rFonts w:ascii="Arial" w:hAnsi="Arial"/>
                <w:b w:val="0"/>
                <w:i w:val="0"/>
                <w:sz w:val="20"/>
              </w:rPr>
              <w:t>We run open weights chosen for cost per token. If your use case needs frontier reasoning on every call, we are the wrong architecture, and we will say so on the security call rather than in month four.</w:t>
            </w:r>
          </w:p>
        </w:tc>
      </w:tr>
      <w:tr>
        <w:tc>
          <w:tcPr>
            <w:tcW w:type="dxa" w:w="3312"/>
            <w:shd w:val="clear" w:color="auto" w:fill="EAEEF5"/>
          </w:tcPr>
          <w:p>
            <w:pPr>
              <w:spacing w:before="40" w:after="40"/>
            </w:pPr>
            <w:r/>
            <w:r>
              <w:rPr>
                <w:rFonts w:ascii="Arial" w:hAnsi="Arial"/>
                <w:b/>
                <w:i w:val="0"/>
                <w:color w:val="1F2A44"/>
                <w:sz w:val="20"/>
              </w:rPr>
              <w:t>We are not an ecosystem</w:t>
            </w:r>
          </w:p>
        </w:tc>
        <w:tc>
          <w:tcPr>
            <w:tcW w:type="dxa" w:w="6624"/>
          </w:tcPr>
          <w:p>
            <w:pPr>
              <w:spacing w:before="40" w:after="40"/>
            </w:pPr>
            <w:r/>
            <w:r>
              <w:rPr>
                <w:rFonts w:ascii="Arial" w:hAnsi="Arial"/>
                <w:b w:val="0"/>
                <w:i w:val="0"/>
                <w:sz w:val="20"/>
              </w:rPr>
              <w:t>We will never have Microsoft's integration breadth and we are not competing for it. On ecosystem breadth we score 2.6 against their 9.7, and that number is not going to move.</w:t>
            </w:r>
          </w:p>
        </w:tc>
      </w:tr>
      <w:tr>
        <w:tc>
          <w:tcPr>
            <w:tcW w:type="dxa" w:w="3312"/>
            <w:shd w:val="clear" w:color="auto" w:fill="EAEEF5"/>
          </w:tcPr>
          <w:p>
            <w:pPr>
              <w:spacing w:before="40" w:after="40"/>
            </w:pPr>
            <w:r/>
            <w:r>
              <w:rPr>
                <w:rFonts w:ascii="Arial" w:hAnsi="Arial"/>
                <w:b/>
                <w:i w:val="0"/>
                <w:color w:val="1F2A44"/>
                <w:sz w:val="20"/>
              </w:rPr>
              <w:t>We are not sovereign infrastructure</w:t>
            </w:r>
          </w:p>
        </w:tc>
        <w:tc>
          <w:tcPr>
            <w:tcW w:type="dxa" w:w="6624"/>
          </w:tcPr>
          <w:p>
            <w:pPr>
              <w:spacing w:before="40" w:after="40"/>
            </w:pPr>
            <w:r/>
            <w:r>
              <w:rPr>
                <w:rFonts w:ascii="Arial" w:hAnsi="Arial"/>
                <w:b w:val="0"/>
                <w:i w:val="0"/>
                <w:sz w:val="20"/>
              </w:rPr>
              <w:t>HUMAIN is. We run on top of whatever endpoint you choose, theirs included.</w:t>
            </w:r>
          </w:p>
        </w:tc>
      </w:tr>
      <w:tr>
        <w:tc>
          <w:tcPr>
            <w:tcW w:type="dxa" w:w="3312"/>
            <w:shd w:val="clear" w:color="auto" w:fill="EAEEF5"/>
          </w:tcPr>
          <w:p>
            <w:pPr>
              <w:spacing w:before="40" w:after="40"/>
            </w:pPr>
            <w:r/>
            <w:r>
              <w:rPr>
                <w:rFonts w:ascii="Arial" w:hAnsi="Arial"/>
                <w:b/>
                <w:i w:val="0"/>
                <w:color w:val="1F2A44"/>
                <w:sz w:val="20"/>
              </w:rPr>
              <w:t>We are not a large company</w:t>
            </w:r>
          </w:p>
        </w:tc>
        <w:tc>
          <w:tcPr>
            <w:tcW w:type="dxa" w:w="6624"/>
          </w:tcPr>
          <w:p>
            <w:pPr>
              <w:spacing w:before="40" w:after="40"/>
            </w:pPr>
            <w:r/>
            <w:r>
              <w:rPr>
                <w:rFonts w:ascii="Arial" w:hAnsi="Arial"/>
                <w:b w:val="0"/>
                <w:i w:val="0"/>
                <w:sz w:val="20"/>
              </w:rPr>
              <w:t>Two people. That is why source access and escrow are in the contract rather than in the objection-handling script, and why we can take only four to six deployments a year.</w:t>
            </w:r>
          </w:p>
        </w:tc>
      </w:tr>
      <w:tr>
        <w:tc>
          <w:tcPr>
            <w:tcW w:type="dxa" w:w="3312"/>
            <w:shd w:val="clear" w:color="auto" w:fill="EAEEF5"/>
          </w:tcPr>
          <w:p>
            <w:pPr>
              <w:spacing w:before="40" w:after="40"/>
            </w:pPr>
            <w:r/>
            <w:r>
              <w:rPr>
                <w:rFonts w:ascii="Arial" w:hAnsi="Arial"/>
                <w:b/>
                <w:i w:val="0"/>
                <w:color w:val="1F2A44"/>
                <w:sz w:val="20"/>
              </w:rPr>
              <w:t>We are not a mobile-first product</w:t>
            </w:r>
          </w:p>
        </w:tc>
        <w:tc>
          <w:tcPr>
            <w:tcW w:type="dxa" w:w="6624"/>
          </w:tcPr>
          <w:p>
            <w:pPr>
              <w:spacing w:before="40" w:after="40"/>
            </w:pPr>
            <w:r/>
            <w:r>
              <w:rPr>
                <w:rFonts w:ascii="Arial" w:hAnsi="Arial"/>
                <w:b w:val="0"/>
                <w:i w:val="0"/>
                <w:sz w:val="20"/>
              </w:rPr>
              <w:t>The agent's value comes from executing on a machine with files and a shell. A phone app would be a worse product pretending to be a broader one, and we would rather say so than roadmap it.</w:t>
            </w:r>
          </w:p>
        </w:tc>
      </w:tr>
      <w:tr>
        <w:tc>
          <w:tcPr>
            <w:tcW w:type="dxa" w:w="3312"/>
            <w:shd w:val="clear" w:color="auto" w:fill="EAEEF5"/>
          </w:tcPr>
          <w:p>
            <w:pPr>
              <w:spacing w:before="40" w:after="40"/>
            </w:pPr>
            <w:r/>
            <w:r>
              <w:rPr>
                <w:rFonts w:ascii="Arial" w:hAnsi="Arial"/>
                <w:b/>
                <w:i w:val="0"/>
                <w:color w:val="1F2A44"/>
                <w:sz w:val="20"/>
              </w:rPr>
              <w:t>We are not able to take every customer</w:t>
            </w:r>
          </w:p>
        </w:tc>
        <w:tc>
          <w:tcPr>
            <w:tcW w:type="dxa" w:w="6624"/>
          </w:tcPr>
          <w:p>
            <w:pPr>
              <w:spacing w:before="40" w:after="40"/>
            </w:pPr>
            <w:r/>
            <w:r>
              <w:rPr>
                <w:rFonts w:ascii="Arial" w:hAnsi="Arial"/>
                <w:b w:val="0"/>
                <w:i w:val="0"/>
                <w:sz w:val="20"/>
              </w:rPr>
              <w:t>Deployment consumes principal time. If the fit is wrong we will tell you on the first call. Declining above fifteen percent of security calls is a target, not an accident.</w:t>
            </w:r>
          </w:p>
        </w:tc>
      </w:tr>
    </w:tbl>
    <w:p>
      <w:pPr>
        <w:spacing w:before="320" w:after="80"/>
      </w:pPr>
      <w:r>
        <w:rPr>
          <w:rFonts w:ascii="Arial" w:hAnsi="Arial"/>
          <w:b/>
          <w:i w:val="0"/>
          <w:color w:val="1F2A44"/>
          <w:sz w:val="30"/>
        </w:rPr>
        <w:t>Objection Reversal, Saudi-specific</w:t>
      </w:r>
    </w:p>
    <w:p>
      <w:pPr>
        <w:spacing w:before="0" w:after="160"/>
      </w:pPr>
      <w:r>
        <w:rPr>
          <w:rFonts w:ascii="Arial" w:hAnsi="Arial"/>
          <w:b w:val="0"/>
          <w:i/>
          <w:color w:val="666666"/>
          <w:sz w:val="17"/>
        </w:rPr>
        <w:t>The nine objections that actually get said out loud, with the reversal and the asset that carries it.</w:t>
      </w:r>
    </w:p>
    <w:tbl>
      <w:tblPr>
        <w:tblStyle w:val="TableGrid"/>
        <w:tblW w:type="auto" w:w="0"/>
        <w:tblLook w:firstColumn="1" w:firstRow="1" w:lastColumn="0" w:lastRow="0" w:noHBand="0" w:noVBand="1" w:val="04A0"/>
      </w:tblPr>
      <w:tblGrid>
        <w:gridCol w:w="3312"/>
        <w:gridCol w:w="3312"/>
        <w:gridCol w:w="3312"/>
      </w:tblGrid>
      <w:tr>
        <w:tc>
          <w:tcPr>
            <w:tcW w:type="dxa" w:w="2880"/>
            <w:shd w:val="clear" w:color="auto" w:fill="1F2A44"/>
          </w:tcPr>
          <w:p>
            <w:pPr>
              <w:spacing w:before="40" w:after="40"/>
            </w:pPr>
            <w:r/>
            <w:r>
              <w:rPr>
                <w:rFonts w:ascii="Arial" w:hAnsi="Arial"/>
                <w:b/>
                <w:i w:val="0"/>
                <w:color w:val="FFFFFF"/>
                <w:sz w:val="20"/>
              </w:rPr>
              <w:t>Objection, as actually said</w:t>
            </w:r>
          </w:p>
        </w:tc>
        <w:tc>
          <w:tcPr>
            <w:tcW w:type="dxa" w:w="4896"/>
            <w:shd w:val="clear" w:color="auto" w:fill="1F2A44"/>
          </w:tcPr>
          <w:p>
            <w:pPr>
              <w:spacing w:before="40" w:after="40"/>
            </w:pPr>
            <w:r/>
            <w:r>
              <w:rPr>
                <w:rFonts w:ascii="Arial" w:hAnsi="Arial"/>
                <w:b/>
                <w:i w:val="0"/>
                <w:color w:val="FFFFFF"/>
                <w:sz w:val="20"/>
              </w:rPr>
              <w:t>Reversal</w:t>
            </w:r>
          </w:p>
        </w:tc>
        <w:tc>
          <w:tcPr>
            <w:tcW w:type="dxa" w:w="2160"/>
            <w:shd w:val="clear" w:color="auto" w:fill="1F2A44"/>
          </w:tcPr>
          <w:p>
            <w:pPr>
              <w:spacing w:before="40" w:after="40"/>
            </w:pPr>
            <w:r/>
            <w:r>
              <w:rPr>
                <w:rFonts w:ascii="Arial" w:hAnsi="Arial"/>
                <w:b/>
                <w:i w:val="0"/>
                <w:color w:val="FFFFFF"/>
                <w:sz w:val="20"/>
              </w:rPr>
              <w:t>Asset</w:t>
            </w:r>
          </w:p>
        </w:tc>
      </w:tr>
      <w:tr>
        <w:tc>
          <w:tcPr>
            <w:tcW w:type="dxa" w:w="2880"/>
            <w:shd w:val="clear" w:color="auto" w:fill="EAEEF5"/>
          </w:tcPr>
          <w:p>
            <w:pPr>
              <w:spacing w:before="40" w:after="40"/>
            </w:pPr>
            <w:r/>
            <w:r>
              <w:rPr>
                <w:rFonts w:ascii="Arial" w:hAnsi="Arial"/>
                <w:b/>
                <w:i w:val="0"/>
                <w:color w:val="1F2A44"/>
                <w:sz w:val="20"/>
              </w:rPr>
              <w:t>Why not HUMAIN? They are the national platform.</w:t>
            </w:r>
          </w:p>
        </w:tc>
        <w:tc>
          <w:tcPr>
            <w:tcW w:type="dxa" w:w="4896"/>
          </w:tcPr>
          <w:p>
            <w:pPr>
              <w:spacing w:before="40" w:after="40"/>
            </w:pPr>
            <w:r/>
            <w:r>
              <w:rPr>
                <w:rFonts w:ascii="Arial" w:hAnsi="Arial"/>
                <w:b w:val="0"/>
                <w:i w:val="0"/>
                <w:sz w:val="20"/>
              </w:rPr>
              <w:t>Different products, and we run on their endpoint if you want ALLaM. You will probably buy both.</w:t>
            </w:r>
          </w:p>
        </w:tc>
        <w:tc>
          <w:tcPr>
            <w:tcW w:type="dxa" w:w="2160"/>
          </w:tcPr>
          <w:p>
            <w:pPr>
              <w:spacing w:before="40" w:after="40"/>
            </w:pPr>
            <w:r/>
            <w:r>
              <w:rPr>
                <w:rFonts w:ascii="Arial" w:hAnsi="Arial"/>
                <w:b w:val="0"/>
                <w:i w:val="0"/>
                <w:sz w:val="20"/>
              </w:rPr>
              <w:t>Statement 5; model portability</w:t>
            </w:r>
          </w:p>
        </w:tc>
      </w:tr>
      <w:tr>
        <w:tc>
          <w:tcPr>
            <w:tcW w:type="dxa" w:w="2880"/>
            <w:shd w:val="clear" w:color="auto" w:fill="EAEEF5"/>
          </w:tcPr>
          <w:p>
            <w:pPr>
              <w:spacing w:before="40" w:after="40"/>
            </w:pPr>
            <w:r/>
            <w:r>
              <w:rPr>
                <w:rFonts w:ascii="Arial" w:hAnsi="Arial"/>
                <w:b/>
                <w:i w:val="0"/>
                <w:color w:val="1F2A44"/>
                <w:sz w:val="20"/>
              </w:rPr>
              <w:t>We already pay for Microsoft. Copilot is nearly free to us.</w:t>
            </w:r>
          </w:p>
        </w:tc>
        <w:tc>
          <w:tcPr>
            <w:tcW w:type="dxa" w:w="4896"/>
          </w:tcPr>
          <w:p>
            <w:pPr>
              <w:spacing w:before="40" w:after="40"/>
            </w:pPr>
            <w:r/>
            <w:r>
              <w:rPr>
                <w:rFonts w:ascii="Arial" w:hAnsi="Arial"/>
                <w:b w:val="0"/>
                <w:i w:val="0"/>
                <w:sz w:val="20"/>
              </w:rPr>
              <w:t>Copilot drafts inside documents. It does not execute on the device, and its own reviewers name auditing as the gap. Compare what each is allowed to do, not what each costs. And yes, Copilot is cheaper: say so first.</w:t>
            </w:r>
          </w:p>
        </w:tc>
        <w:tc>
          <w:tcPr>
            <w:tcW w:type="dxa" w:w="2160"/>
          </w:tcPr>
          <w:p>
            <w:pPr>
              <w:spacing w:before="40" w:after="40"/>
            </w:pPr>
            <w:r/>
            <w:r>
              <w:rPr>
                <w:rFonts w:ascii="Arial" w:hAnsi="Arial"/>
                <w:b w:val="0"/>
                <w:i w:val="0"/>
                <w:sz w:val="20"/>
              </w:rPr>
              <w:t>Statement 1; the capability presence grid</w:t>
            </w:r>
          </w:p>
        </w:tc>
      </w:tr>
      <w:tr>
        <w:tc>
          <w:tcPr>
            <w:tcW w:type="dxa" w:w="2880"/>
            <w:shd w:val="clear" w:color="auto" w:fill="EAEEF5"/>
          </w:tcPr>
          <w:p>
            <w:pPr>
              <w:spacing w:before="40" w:after="40"/>
            </w:pPr>
            <w:r/>
            <w:r>
              <w:rPr>
                <w:rFonts w:ascii="Arial" w:hAnsi="Arial"/>
                <w:b/>
                <w:i w:val="0"/>
                <w:color w:val="1F2A44"/>
                <w:sz w:val="20"/>
              </w:rPr>
              <w:t>You are two people. What if you disappear?</w:t>
            </w:r>
          </w:p>
        </w:tc>
        <w:tc>
          <w:tcPr>
            <w:tcW w:type="dxa" w:w="4896"/>
          </w:tcPr>
          <w:p>
            <w:pPr>
              <w:spacing w:before="40" w:after="40"/>
            </w:pPr>
            <w:r/>
            <w:r>
              <w:rPr>
                <w:rFonts w:ascii="Arial" w:hAnsi="Arial"/>
                <w:b w:val="0"/>
                <w:i w:val="0"/>
                <w:sz w:val="20"/>
              </w:rPr>
              <w:t>Source access and escrow, pre-packaged, in the data room before you ask. Your platform keeps running. Then ask your integrator the same question about the four named people on your account.</w:t>
            </w:r>
          </w:p>
        </w:tc>
        <w:tc>
          <w:tcPr>
            <w:tcW w:type="dxa" w:w="2160"/>
          </w:tcPr>
          <w:p>
            <w:pPr>
              <w:spacing w:before="40" w:after="40"/>
            </w:pPr>
            <w:r/>
            <w:r>
              <w:rPr>
                <w:rFonts w:ascii="Arial" w:hAnsi="Arial"/>
                <w:b w:val="0"/>
                <w:i w:val="0"/>
                <w:sz w:val="20"/>
              </w:rPr>
              <w:t>Pre-packaged escrow deed; Statement 4</w:t>
            </w:r>
          </w:p>
        </w:tc>
      </w:tr>
      <w:tr>
        <w:tc>
          <w:tcPr>
            <w:tcW w:type="dxa" w:w="2880"/>
            <w:shd w:val="clear" w:color="auto" w:fill="EAEEF5"/>
          </w:tcPr>
          <w:p>
            <w:pPr>
              <w:spacing w:before="40" w:after="40"/>
            </w:pPr>
            <w:r/>
            <w:r>
              <w:rPr>
                <w:rFonts w:ascii="Arial" w:hAnsi="Arial"/>
                <w:b/>
                <w:i w:val="0"/>
                <w:color w:val="1F2A44"/>
                <w:sz w:val="20"/>
              </w:rPr>
              <w:t>Our integrator can build this.</w:t>
            </w:r>
          </w:p>
        </w:tc>
        <w:tc>
          <w:tcPr>
            <w:tcW w:type="dxa" w:w="4896"/>
          </w:tcPr>
          <w:p>
            <w:pPr>
              <w:spacing w:before="40" w:after="40"/>
            </w:pPr>
            <w:r/>
            <w:r>
              <w:rPr>
                <w:rFonts w:ascii="Arial" w:hAnsi="Arial"/>
                <w:b w:val="0"/>
                <w:i w:val="0"/>
                <w:sz w:val="20"/>
              </w:rPr>
              <w:t>They can, once. Ask who owns it in year three, and what the fourth use case costs.</w:t>
            </w:r>
          </w:p>
        </w:tc>
        <w:tc>
          <w:tcPr>
            <w:tcW w:type="dxa" w:w="2160"/>
          </w:tcPr>
          <w:p>
            <w:pPr>
              <w:spacing w:before="40" w:after="40"/>
            </w:pPr>
            <w:r/>
            <w:r>
              <w:rPr>
                <w:rFonts w:ascii="Arial" w:hAnsi="Arial"/>
                <w:b w:val="0"/>
                <w:i w:val="0"/>
                <w:sz w:val="20"/>
              </w:rPr>
              <w:t>Statement 4</w:t>
            </w:r>
          </w:p>
        </w:tc>
      </w:tr>
      <w:tr>
        <w:tc>
          <w:tcPr>
            <w:tcW w:type="dxa" w:w="2880"/>
            <w:shd w:val="clear" w:color="auto" w:fill="EAEEF5"/>
          </w:tcPr>
          <w:p>
            <w:pPr>
              <w:spacing w:before="40" w:after="40"/>
            </w:pPr>
            <w:r/>
            <w:r>
              <w:rPr>
                <w:rFonts w:ascii="Arial" w:hAnsi="Arial"/>
                <w:b/>
                <w:i w:val="0"/>
                <w:color w:val="1F2A44"/>
                <w:sz w:val="20"/>
              </w:rPr>
              <w:t>We will build it internally on open source.</w:t>
            </w:r>
          </w:p>
        </w:tc>
        <w:tc>
          <w:tcPr>
            <w:tcW w:type="dxa" w:w="4896"/>
          </w:tcPr>
          <w:p>
            <w:pPr>
              <w:spacing w:before="40" w:after="40"/>
            </w:pPr>
            <w:r/>
            <w:r>
              <w:rPr>
                <w:rFonts w:ascii="Arial" w:hAnsi="Arial"/>
                <w:b w:val="0"/>
                <w:i w:val="0"/>
                <w:sz w:val="20"/>
              </w:rPr>
              <w:t>You can, and it will demo well in a fortnight. Then price two engineers of permanent maintenance, and check whether it produces attributed action-level audit and enforced quotas, because that is what your next NCA or SAMA review will ask for.</w:t>
            </w:r>
          </w:p>
        </w:tc>
        <w:tc>
          <w:tcPr>
            <w:tcW w:type="dxa" w:w="2160"/>
          </w:tcPr>
          <w:p>
            <w:pPr>
              <w:spacing w:before="40" w:after="40"/>
            </w:pPr>
            <w:r/>
            <w:r>
              <w:rPr>
                <w:rFonts w:ascii="Arial" w:hAnsi="Arial"/>
                <w:b w:val="0"/>
                <w:i w:val="0"/>
                <w:sz w:val="20"/>
              </w:rPr>
              <w:t>Statement 6; the DIY cost comparison</w:t>
            </w:r>
          </w:p>
        </w:tc>
      </w:tr>
      <w:tr>
        <w:tc>
          <w:tcPr>
            <w:tcW w:type="dxa" w:w="2880"/>
            <w:shd w:val="clear" w:color="auto" w:fill="EAEEF5"/>
          </w:tcPr>
          <w:p>
            <w:pPr>
              <w:spacing w:before="40" w:after="40"/>
            </w:pPr>
            <w:r/>
            <w:r>
              <w:rPr>
                <w:rFonts w:ascii="Arial" w:hAnsi="Arial"/>
                <w:b/>
                <w:i w:val="0"/>
                <w:color w:val="1F2A44"/>
                <w:sz w:val="20"/>
              </w:rPr>
              <w:t>We need to wait for the Microsoft Saudi region.</w:t>
            </w:r>
          </w:p>
        </w:tc>
        <w:tc>
          <w:tcPr>
            <w:tcW w:type="dxa" w:w="4896"/>
          </w:tcPr>
          <w:p>
            <w:pPr>
              <w:spacing w:before="40" w:after="40"/>
            </w:pPr>
            <w:r/>
            <w:r>
              <w:rPr>
                <w:rFonts w:ascii="Arial" w:hAnsi="Arial"/>
                <w:b w:val="0"/>
                <w:i w:val="0"/>
                <w:sz w:val="20"/>
              </w:rPr>
              <w:t>That solves where the data sits. It does not remove the vendor from the data path, and it does not put an agent on the employee's machine. Different problems.</w:t>
            </w:r>
          </w:p>
        </w:tc>
        <w:tc>
          <w:tcPr>
            <w:tcW w:type="dxa" w:w="2160"/>
          </w:tcPr>
          <w:p>
            <w:pPr>
              <w:spacing w:before="40" w:after="40"/>
            </w:pPr>
            <w:r/>
            <w:r>
              <w:rPr>
                <w:rFonts w:ascii="Arial" w:hAnsi="Arial"/>
                <w:b w:val="0"/>
                <w:i w:val="0"/>
                <w:sz w:val="20"/>
              </w:rPr>
              <w:t>Statement 2</w:t>
            </w:r>
          </w:p>
        </w:tc>
      </w:tr>
      <w:tr>
        <w:tc>
          <w:tcPr>
            <w:tcW w:type="dxa" w:w="2880"/>
            <w:shd w:val="clear" w:color="auto" w:fill="EAEEF5"/>
          </w:tcPr>
          <w:p>
            <w:pPr>
              <w:spacing w:before="40" w:after="40"/>
            </w:pPr>
            <w:r/>
            <w:r>
              <w:rPr>
                <w:rFonts w:ascii="Arial" w:hAnsi="Arial"/>
                <w:b/>
                <w:i w:val="0"/>
                <w:color w:val="1F2A44"/>
                <w:sz w:val="20"/>
              </w:rPr>
              <w:t>Our data cannot leave the Kingdom.</w:t>
            </w:r>
          </w:p>
        </w:tc>
        <w:tc>
          <w:tcPr>
            <w:tcW w:type="dxa" w:w="4896"/>
          </w:tcPr>
          <w:p>
            <w:pPr>
              <w:spacing w:before="40" w:after="40"/>
            </w:pPr>
            <w:r/>
            <w:r>
              <w:rPr>
                <w:rFonts w:ascii="Arial" w:hAnsi="Arial"/>
                <w:b w:val="0"/>
                <w:i w:val="0"/>
                <w:sz w:val="20"/>
              </w:rPr>
              <w:t>Correct, and under the CCSPR it cannot leave even for caching. That is not a constraint we accommodate. It is the reason the architecture exists.</w:t>
            </w:r>
          </w:p>
        </w:tc>
        <w:tc>
          <w:tcPr>
            <w:tcW w:type="dxa" w:w="2160"/>
          </w:tcPr>
          <w:p>
            <w:pPr>
              <w:spacing w:before="40" w:after="40"/>
            </w:pPr>
            <w:r/>
            <w:r>
              <w:rPr>
                <w:rFonts w:ascii="Arial" w:hAnsi="Arial"/>
                <w:b w:val="0"/>
                <w:i w:val="0"/>
                <w:sz w:val="20"/>
              </w:rPr>
              <w:t>Statement 2; the Compliance Evidence Pack</w:t>
            </w:r>
          </w:p>
        </w:tc>
      </w:tr>
      <w:tr>
        <w:tc>
          <w:tcPr>
            <w:tcW w:type="dxa" w:w="2880"/>
            <w:shd w:val="clear" w:color="auto" w:fill="EAEEF5"/>
          </w:tcPr>
          <w:p>
            <w:pPr>
              <w:spacing w:before="40" w:after="40"/>
            </w:pPr>
            <w:r/>
            <w:r>
              <w:rPr>
                <w:rFonts w:ascii="Arial" w:hAnsi="Arial"/>
                <w:b/>
                <w:i w:val="0"/>
                <w:color w:val="1F2A44"/>
                <w:sz w:val="20"/>
              </w:rPr>
              <w:t>We have no budget line for this.</w:t>
            </w:r>
          </w:p>
        </w:tc>
        <w:tc>
          <w:tcPr>
            <w:tcW w:type="dxa" w:w="4896"/>
          </w:tcPr>
          <w:p>
            <w:pPr>
              <w:spacing w:before="40" w:after="40"/>
            </w:pPr>
            <w:r/>
            <w:r>
              <w:rPr>
                <w:rFonts w:ascii="Arial" w:hAnsi="Arial"/>
                <w:b w:val="0"/>
                <w:i w:val="0"/>
                <w:sz w:val="20"/>
              </w:rPr>
              <w:t>The budget statement lands in December and the fiscal year is the calendar year. We should be in your Q4 conversation, not your Q2 one. Meanwhile the audit is free.</w:t>
            </w:r>
          </w:p>
        </w:tc>
        <w:tc>
          <w:tcPr>
            <w:tcW w:type="dxa" w:w="2160"/>
          </w:tcPr>
          <w:p>
            <w:pPr>
              <w:spacing w:before="40" w:after="40"/>
            </w:pPr>
            <w:r/>
            <w:r>
              <w:rPr>
                <w:rFonts w:ascii="Arial" w:hAnsi="Arial"/>
                <w:b w:val="0"/>
                <w:i w:val="0"/>
                <w:sz w:val="20"/>
              </w:rPr>
              <w:t>Statement 6; the Exposure Audit</w:t>
            </w:r>
          </w:p>
        </w:tc>
      </w:tr>
      <w:tr>
        <w:tc>
          <w:tcPr>
            <w:tcW w:type="dxa" w:w="2880"/>
            <w:shd w:val="clear" w:color="auto" w:fill="EAEEF5"/>
          </w:tcPr>
          <w:p>
            <w:pPr>
              <w:spacing w:before="40" w:after="40"/>
            </w:pPr>
            <w:r/>
            <w:r>
              <w:rPr>
                <w:rFonts w:ascii="Arial" w:hAnsi="Arial"/>
                <w:b/>
                <w:i w:val="0"/>
                <w:color w:val="1F2A44"/>
                <w:sz w:val="20"/>
              </w:rPr>
              <w:t>Send us a proposal.</w:t>
            </w:r>
          </w:p>
        </w:tc>
        <w:tc>
          <w:tcPr>
            <w:tcW w:type="dxa" w:w="4896"/>
          </w:tcPr>
          <w:p>
            <w:pPr>
              <w:spacing w:before="40" w:after="40"/>
            </w:pPr>
            <w:r/>
            <w:r>
              <w:rPr>
                <w:rFonts w:ascii="Arial" w:hAnsi="Arial"/>
                <w:b w:val="0"/>
                <w:i w:val="0"/>
                <w:sz w:val="20"/>
              </w:rPr>
              <w:t>Before a proposal, a security call with your security team in the room. If we are not a fit we will say so on the call.</w:t>
            </w:r>
          </w:p>
        </w:tc>
        <w:tc>
          <w:tcPr>
            <w:tcW w:type="dxa" w:w="2160"/>
          </w:tcPr>
          <w:p>
            <w:pPr>
              <w:spacing w:before="40" w:after="40"/>
            </w:pPr>
            <w:r/>
            <w:r>
              <w:rPr>
                <w:rFonts w:ascii="Arial" w:hAnsi="Arial"/>
                <w:b w:val="0"/>
                <w:i w:val="0"/>
                <w:sz w:val="20"/>
              </w:rPr>
              <w:t>The Discovery and Security Call</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