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B7791F"/>
          <w:sz w:val="22"/>
        </w:rPr>
        <w:t>Wolffish Cloud  ·  Kingdom of Saudi Arabia</w:t>
      </w:r>
    </w:p>
    <w:p>
      <w:pPr>
        <w:spacing w:before="0" w:after="80"/>
      </w:pPr>
      <w:r>
        <w:rPr>
          <w:rFonts w:ascii="Arial" w:hAnsi="Arial"/>
          <w:b/>
          <w:i w:val="0"/>
          <w:color w:val="1F2A44"/>
          <w:sz w:val="40"/>
        </w:rPr>
        <w:t>Value Proposition Framework</w:t>
      </w:r>
    </w:p>
    <w:p>
      <w:pPr>
        <w:spacing w:before="0" w:after="240"/>
      </w:pPr>
      <w:r>
        <w:rPr>
          <w:rFonts w:ascii="Arial" w:hAnsi="Arial"/>
          <w:b w:val="0"/>
          <w:i/>
          <w:color w:val="555555"/>
          <w:sz w:val="19"/>
        </w:rPr>
        <w:t>Brand promise and positioning, three value proposition pillars with three reasons to believe each, and a copy drill for every reason to believe. Copy is bilingual: in Arabic-first channels the Arabic runs as the headline and the English as the subhead, not the reverse. Version 1.0, 4 September 2026.</w:t>
      </w:r>
    </w:p>
    <w:p>
      <w:pPr>
        <w:spacing w:before="320" w:after="80"/>
      </w:pPr>
      <w:r>
        <w:rPr>
          <w:rFonts w:ascii="Arial" w:hAnsi="Arial"/>
          <w:b/>
          <w:i w:val="0"/>
          <w:color w:val="1F2A44"/>
          <w:sz w:val="30"/>
        </w:rPr>
        <w:t>Standing Caveats</w:t>
      </w:r>
    </w:p>
    <w:p>
      <w:pPr>
        <w:spacing w:before="0" w:after="160"/>
      </w:pPr>
      <w:r>
        <w:rPr>
          <w:rFonts w:ascii="Arial" w:hAnsi="Arial"/>
          <w:b w:val="0"/>
          <w:i/>
          <w:color w:val="666666"/>
          <w:sz w:val="17"/>
        </w:rPr>
        <w:t>These five apply to every document in this library. Four of them change what the numbers mean, and the fifth changes whether they can be trusted yet.</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C1 · Not SaaS</w:t>
            </w:r>
          </w:p>
        </w:tc>
        <w:tc>
          <w:tcPr>
            <w:tcW w:type="dxa" w:w="6624"/>
          </w:tcPr>
          <w:p>
            <w:pPr>
              <w:spacing w:before="40" w:after="40"/>
            </w:pPr>
            <w:r/>
            <w:r>
              <w:rPr>
                <w:rFonts w:ascii="Arial" w:hAnsi="Arial"/>
                <w:b w:val="0"/>
                <w:i w:val="0"/>
                <w:sz w:val="20"/>
              </w:rPr>
              <w:t>Wolffish is three stacked products, not one: an agentic harness on the employee's own machine, a platform control plane, and a cloud service engagement. A fourth layer, Saudi regulatory and commercial fit, has no equivalent in a generic B2B SaaS framework. Every feature, benefit, score and price in this library is tagged to a layer, and scores are never averaged across layers.</w:t>
            </w:r>
          </w:p>
        </w:tc>
      </w:tr>
      <w:tr>
        <w:tc>
          <w:tcPr>
            <w:tcW w:type="dxa" w:w="3312"/>
            <w:shd w:val="clear" w:color="auto" w:fill="EAEEF5"/>
          </w:tcPr>
          <w:p>
            <w:pPr>
              <w:spacing w:before="40" w:after="40"/>
            </w:pPr>
            <w:r/>
            <w:r>
              <w:rPr>
                <w:rFonts w:ascii="Arial" w:hAnsi="Arial"/>
                <w:b/>
                <w:i w:val="0"/>
                <w:color w:val="1F2A44"/>
                <w:sz w:val="20"/>
              </w:rPr>
              <w:t>C2 · No self-serve motion</w:t>
            </w:r>
          </w:p>
        </w:tc>
        <w:tc>
          <w:tcPr>
            <w:tcW w:type="dxa" w:w="6624"/>
          </w:tcPr>
          <w:p>
            <w:pPr>
              <w:spacing w:before="40" w:after="40"/>
            </w:pPr>
            <w:r/>
            <w:r>
              <w:rPr>
                <w:rFonts w:ascii="Arial" w:hAnsi="Arial"/>
                <w:b w:val="0"/>
                <w:i w:val="0"/>
                <w:sz w:val="20"/>
              </w:rPr>
              <w:t>SAR 60,000 at signature, a twelve-month term and quarterly prepay make this a committee purchase from the first meeting. There is no free tier, no trial, no product-qualified lead and no self-serve upgrade path. Any metric that would assume one is marked 'n/a, not a self-serve product' rather than invented.</w:t>
            </w:r>
          </w:p>
        </w:tc>
      </w:tr>
      <w:tr>
        <w:tc>
          <w:tcPr>
            <w:tcW w:type="dxa" w:w="3312"/>
            <w:shd w:val="clear" w:color="auto" w:fill="EAEEF5"/>
          </w:tcPr>
          <w:p>
            <w:pPr>
              <w:spacing w:before="40" w:after="40"/>
            </w:pPr>
            <w:r/>
            <w:r>
              <w:rPr>
                <w:rFonts w:ascii="Arial" w:hAnsi="Arial"/>
                <w:b/>
                <w:i w:val="0"/>
                <w:color w:val="1F2A44"/>
                <w:sz w:val="20"/>
              </w:rPr>
              <w:t>C3 · Two of three price lines are not Wolffish revenue</w:t>
            </w:r>
          </w:p>
        </w:tc>
        <w:tc>
          <w:tcPr>
            <w:tcW w:type="dxa" w:w="6624"/>
          </w:tcPr>
          <w:p>
            <w:pPr>
              <w:spacing w:before="40" w:after="40"/>
            </w:pPr>
            <w:r/>
            <w:r>
              <w:rPr>
                <w:rFonts w:ascii="Arial" w:hAnsi="Arial"/>
                <w:b w:val="0"/>
                <w:i w:val="0"/>
                <w:sz w:val="20"/>
              </w:rPr>
              <w:t>Landed cost is SAR 124 to 184 per employee per month. Wolffish revenue is SAR 79 of it. Inference and infrastructure are billed by the customer's own providers, directly to the customer, at zero Wolffish margin. Every comparison in this library is stated as landed cost on both sides.</w:t>
            </w:r>
          </w:p>
        </w:tc>
      </w:tr>
      <w:tr>
        <w:tc>
          <w:tcPr>
            <w:tcW w:type="dxa" w:w="3312"/>
            <w:shd w:val="clear" w:color="auto" w:fill="EAEEF5"/>
          </w:tcPr>
          <w:p>
            <w:pPr>
              <w:spacing w:before="40" w:after="40"/>
            </w:pPr>
            <w:r/>
            <w:r>
              <w:rPr>
                <w:rFonts w:ascii="Arial" w:hAnsi="Arial"/>
                <w:b/>
                <w:i w:val="0"/>
                <w:color w:val="1F2A44"/>
                <w:sz w:val="20"/>
              </w:rPr>
              <w:t>C4 · Kingdom of Saudi Arabia only</w:t>
            </w:r>
          </w:p>
        </w:tc>
        <w:tc>
          <w:tcPr>
            <w:tcW w:type="dxa" w:w="6624"/>
          </w:tcPr>
          <w:p>
            <w:pPr>
              <w:spacing w:before="40" w:after="40"/>
            </w:pPr>
            <w:r/>
            <w:r>
              <w:rPr>
                <w:rFonts w:ascii="Arial" w:hAnsi="Arial"/>
                <w:b w:val="0"/>
                <w:i w:val="0"/>
                <w:sz w:val="20"/>
              </w:rPr>
              <w:t>Every ICP, persona, channel, price point, asset and KPI here is scoped to the Kingdom. G2, Capterra and Trustpilot carry almost no Saudi buyer signal and were used only for global product-quality themes; every Saudi-specific claim is sourced to a Saudi regulatory instrument, procurement rule or market report. This library does not travel to the wider GCC or globally without re-running the ICP, journey and assets work.</w:t>
            </w:r>
          </w:p>
        </w:tc>
      </w:tr>
      <w:tr>
        <w:tc>
          <w:tcPr>
            <w:tcW w:type="dxa" w:w="3312"/>
            <w:shd w:val="clear" w:color="auto" w:fill="EAEEF5"/>
          </w:tcPr>
          <w:p>
            <w:pPr>
              <w:spacing w:before="40" w:after="40"/>
            </w:pPr>
            <w:r/>
            <w:r>
              <w:rPr>
                <w:rFonts w:ascii="Arial" w:hAnsi="Arial"/>
                <w:b/>
                <w:i w:val="0"/>
                <w:color w:val="1F2A44"/>
                <w:sz w:val="20"/>
              </w:rPr>
              <w:t>C5 · Offer metrics are self-rated and unreconciled</w:t>
            </w:r>
          </w:p>
        </w:tc>
        <w:tc>
          <w:tcPr>
            <w:tcW w:type="dxa" w:w="6624"/>
          </w:tcPr>
          <w:p>
            <w:pPr>
              <w:spacing w:before="40" w:after="40"/>
            </w:pPr>
            <w:r/>
            <w:r>
              <w:rPr>
                <w:rFonts w:ascii="Arial" w:hAnsi="Arial"/>
                <w:b w:val="0"/>
                <w:i w:val="0"/>
                <w:sz w:val="20"/>
              </w:rPr>
              <w:t>The source Service and Offer Matrix contains two self-rated blocks by two people describing two different companies, and the second block carries its own 'not a live product audit' warning. Six findings are open, including one uncapped commitment that is the largest margin risk in the model. Nothing downstream is validated until those are reconciled on the review call.</w:t>
            </w:r>
          </w:p>
        </w:tc>
      </w:tr>
    </w:tbl>
    <w:p>
      <w:pPr>
        <w:spacing w:before="320" w:after="80"/>
      </w:pPr>
      <w:r>
        <w:rPr>
          <w:rFonts w:ascii="Arial" w:hAnsi="Arial"/>
          <w:b/>
          <w:i w:val="0"/>
          <w:color w:val="1F2A44"/>
          <w:sz w:val="30"/>
        </w:rPr>
        <w:t>Brand Promise and Positioning</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Brand Promise</w:t>
            </w:r>
          </w:p>
          <w:p>
            <w:pPr>
              <w:spacing w:before="0" w:after="40"/>
            </w:pPr>
            <w:r>
              <w:rPr>
                <w:rFonts w:ascii="Arial" w:hAnsi="Arial"/>
                <w:b/>
                <w:i w:val="0"/>
                <w:color w:val="1F2A44"/>
                <w:sz w:val="20"/>
              </w:rPr>
              <w:t>What does your brand promise on a basic level? What is the point? The deliverable?</w:t>
            </w:r>
          </w:p>
        </w:tc>
        <w:tc>
          <w:tcPr>
            <w:tcW w:type="dxa" w:w="6624"/>
          </w:tcPr>
          <w:p>
            <w:pPr>
              <w:spacing w:before="40" w:after="40"/>
            </w:pPr>
            <w:r/>
            <w:r>
              <w:rPr>
                <w:rFonts w:ascii="Arial" w:hAnsi="Arial"/>
                <w:b w:val="0"/>
                <w:i w:val="0"/>
                <w:sz w:val="20"/>
              </w:rPr>
              <w:t>Every employee gets an agent that does the work, on their own machine, and nothing of yours ever leaves the building. The deliverable is a working agentic workforce inside your perimeter in six to eight weeks, on a bill you set in advance.</w:t>
            </w:r>
          </w:p>
          <w:p>
            <w:pPr>
              <w:spacing w:before="0" w:after="40"/>
            </w:pPr>
            <w:r>
              <w:rPr>
                <w:rFonts w:ascii="Arial" w:hAnsi="Arial"/>
                <w:b w:val="0"/>
                <w:i w:val="0"/>
                <w:sz w:val="20"/>
              </w:rPr>
            </w:r>
          </w:p>
          <w:p>
            <w:pPr>
              <w:spacing w:before="0" w:after="40"/>
            </w:pPr>
            <w:r>
              <w:rPr>
                <w:rFonts w:ascii="Arial" w:hAnsi="Arial"/>
                <w:b w:val="0"/>
                <w:i w:val="0"/>
                <w:sz w:val="20"/>
              </w:rPr>
              <w:t>لكل موظف وكيل ذكي ينجز العمل على جهازه، ولا يغادر شيء من بياناتكم مقرّكم. النتيجة: قوة عاملة ذكية داخل نطاقكم خلال ستة إلى ثمانية أسابيع، وبتكلفة تُقرّرونها مسبقاً.</w:t>
            </w:r>
          </w:p>
        </w:tc>
      </w:tr>
      <w:tr>
        <w:tc>
          <w:tcPr>
            <w:tcW w:type="dxa" w:w="3312"/>
            <w:shd w:val="clear" w:color="auto" w:fill="EAEEF5"/>
          </w:tcPr>
          <w:p>
            <w:pPr>
              <w:spacing w:before="40" w:after="40"/>
            </w:pPr>
            <w:r/>
            <w:r>
              <w:rPr>
                <w:rFonts w:ascii="Arial" w:hAnsi="Arial"/>
                <w:b/>
                <w:i w:val="0"/>
                <w:color w:val="1F2A44"/>
                <w:sz w:val="20"/>
              </w:rPr>
              <w:t>Positioning</w:t>
            </w:r>
          </w:p>
          <w:p>
            <w:pPr>
              <w:spacing w:before="0" w:after="40"/>
            </w:pPr>
            <w:r>
              <w:rPr>
                <w:rFonts w:ascii="Arial" w:hAnsi="Arial"/>
                <w:b/>
                <w:i w:val="0"/>
                <w:color w:val="1F2A44"/>
                <w:sz w:val="20"/>
              </w:rPr>
              <w:t>What is your brand's unique claim? What can only you do?</w:t>
            </w:r>
          </w:p>
        </w:tc>
        <w:tc>
          <w:tcPr>
            <w:tcW w:type="dxa" w:w="6624"/>
          </w:tcPr>
          <w:p>
            <w:pPr>
              <w:spacing w:before="40" w:after="40"/>
            </w:pPr>
            <w:r/>
            <w:r>
              <w:rPr>
                <w:rFonts w:ascii="Arial" w:hAnsi="Arial"/>
                <w:b w:val="0"/>
                <w:i w:val="0"/>
                <w:sz w:val="20"/>
              </w:rPr>
              <w:t>Wolffish is the only agent platform a Saudi enterprise can deploy where no path exists for its data to reach the vendor, where the cost per employee is a number the company sets rather than receives, and where the agent reaches the internal systems no connector catalogue will ever support. Only we can claim all three, because all three descend from one architectural decision, that agents execute on the employee's device and inference runs on the customer's own zero-retention account, and no multi-tenant AI cloud can make that decision without ceasing to be one.</w:t>
            </w:r>
          </w:p>
          <w:p>
            <w:pPr>
              <w:spacing w:before="0" w:after="40"/>
            </w:pPr>
            <w:r>
              <w:rPr>
                <w:rFonts w:ascii="Arial" w:hAnsi="Arial"/>
                <w:b w:val="0"/>
                <w:i w:val="0"/>
                <w:sz w:val="20"/>
              </w:rPr>
            </w:r>
          </w:p>
          <w:p>
            <w:pPr>
              <w:spacing w:before="0" w:after="40"/>
            </w:pPr>
            <w:r>
              <w:rPr>
                <w:rFonts w:ascii="Arial" w:hAnsi="Arial"/>
                <w:b w:val="0"/>
                <w:i w:val="0"/>
                <w:sz w:val="20"/>
              </w:rPr>
              <w:t>ولفِش هي منصة الوكلاء الذكيين الوحيدة التي يمكن لمنشأة سعودية نشرها دون أن يوجد أصلاً مسار تخرج عبره بياناتها إلى المورّد، وبتكلفة لكل موظف تحدّدها المنشأة لا تستلمها في فاتورة، ووكيل يصل إلى الأنظمة الداخلية التي لا يدعمها أي كتالوج تكامل جاهز.</w:t>
            </w:r>
          </w:p>
        </w:tc>
      </w:tr>
      <w:tr>
        <w:tc>
          <w:tcPr>
            <w:tcW w:type="dxa" w:w="3312"/>
            <w:shd w:val="clear" w:color="auto" w:fill="EAEEF5"/>
          </w:tcPr>
          <w:p>
            <w:pPr>
              <w:spacing w:before="40" w:after="40"/>
            </w:pPr>
            <w:r/>
            <w:r>
              <w:rPr>
                <w:rFonts w:ascii="Arial" w:hAnsi="Arial"/>
                <w:b/>
                <w:i w:val="0"/>
                <w:color w:val="1F2A44"/>
                <w:sz w:val="20"/>
              </w:rPr>
              <w:t>Category claim</w:t>
            </w:r>
          </w:p>
          <w:p>
            <w:pPr>
              <w:spacing w:before="0" w:after="40"/>
            </w:pPr>
            <w:r>
              <w:rPr>
                <w:rFonts w:ascii="Arial" w:hAnsi="Arial"/>
                <w:b/>
                <w:i w:val="0"/>
                <w:color w:val="1F2A44"/>
                <w:sz w:val="20"/>
              </w:rPr>
              <w:t>What category are we asking to be measured in?</w:t>
            </w:r>
          </w:p>
        </w:tc>
        <w:tc>
          <w:tcPr>
            <w:tcW w:type="dxa" w:w="6624"/>
          </w:tcPr>
          <w:p>
            <w:pPr>
              <w:spacing w:before="40" w:after="40"/>
            </w:pPr>
            <w:r/>
            <w:r>
              <w:rPr>
                <w:rFonts w:ascii="Arial" w:hAnsi="Arial"/>
                <w:b w:val="0"/>
                <w:i w:val="0"/>
                <w:sz w:val="20"/>
              </w:rPr>
              <w:t>In-perimeter agentic workforce platform. منصة وكلاء ذكيين داخل نطاق منشأتك.</w:t>
            </w:r>
          </w:p>
          <w:p>
            <w:pPr>
              <w:spacing w:before="0" w:after="40"/>
            </w:pPr>
            <w:r>
              <w:rPr>
                <w:rFonts w:ascii="Arial" w:hAnsi="Arial"/>
                <w:b w:val="0"/>
                <w:i w:val="0"/>
                <w:sz w:val="20"/>
              </w:rPr>
            </w:r>
          </w:p>
          <w:p>
            <w:pPr>
              <w:spacing w:before="0" w:after="40"/>
            </w:pPr>
            <w:r>
              <w:rPr>
                <w:rFonts w:ascii="Arial" w:hAnsi="Arial"/>
                <w:b w:val="0"/>
                <w:i w:val="0"/>
                <w:sz w:val="20"/>
              </w:rPr>
              <w:t>The name excludes every competitor by construction. 'In-perimeter' excludes the four vendor clouds. 'Workforce' excludes Cursor and GitHub Copilot, which are developer tools. 'Platform' excludes the integrator project. Nothing on a Saudi shortlist can adopt this label without changing what it is.</w:t>
            </w:r>
          </w:p>
          <w:p>
            <w:pPr>
              <w:spacing w:before="0" w:after="40"/>
            </w:pPr>
            <w:r>
              <w:rPr>
                <w:rFonts w:ascii="Arial" w:hAnsi="Arial"/>
                <w:b w:val="0"/>
                <w:i w:val="0"/>
                <w:sz w:val="20"/>
              </w:rPr>
            </w:r>
          </w:p>
          <w:p>
            <w:pPr>
              <w:spacing w:before="0" w:after="40"/>
            </w:pPr>
            <w:r>
              <w:rPr>
                <w:rFonts w:ascii="Arial" w:hAnsi="Arial"/>
                <w:b w:val="0"/>
                <w:i w:val="0"/>
                <w:sz w:val="20"/>
              </w:rPr>
              <w:t>Explicitly not called: 'AI assistant', which is the commoditised framing and invites a Copilot comparison. Not 'AI agent spend governance', which reprices the company by roughly an order of magnitude. Not 'sovereign AI', which is HUMAIN's word and taking it starts a fight Wolffish loses.</w:t>
            </w:r>
          </w:p>
        </w:tc>
      </w:tr>
    </w:tbl>
    <w:p>
      <w:pPr>
        <w:spacing w:before="320" w:after="80"/>
      </w:pPr>
      <w:r>
        <w:rPr>
          <w:rFonts w:ascii="Arial" w:hAnsi="Arial"/>
          <w:b/>
          <w:i w:val="0"/>
          <w:color w:val="1F2A44"/>
          <w:sz w:val="30"/>
        </w:rPr>
        <w:t>Value Proposition Pillars</w:t>
      </w:r>
    </w:p>
    <w:p>
      <w:pPr>
        <w:spacing w:before="0" w:after="160"/>
      </w:pPr>
      <w:r>
        <w:rPr>
          <w:rFonts w:ascii="Arial" w:hAnsi="Arial"/>
          <w:b w:val="0"/>
          <w:i/>
          <w:color w:val="666666"/>
          <w:sz w:val="17"/>
        </w:rPr>
        <w:t>Three value propositions, each with a description and three reasons to believe. The pillars map deliberately onto three of the four product layers. No pillar rests on the agentic harness alone, because that layer is commoditising quarterly and copy written on it has a twelve-month shelf life.</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color="auto" w:fill="1F2A44"/>
          </w:tcPr>
          <w:p>
            <w:pPr>
              <w:spacing w:before="40" w:after="40"/>
            </w:pPr>
            <w:r/>
            <w:r>
              <w:rPr>
                <w:rFonts w:ascii="Arial" w:hAnsi="Arial"/>
                <w:b/>
                <w:i w:val="0"/>
                <w:color w:val="FFFFFF"/>
                <w:sz w:val="20"/>
              </w:rPr>
            </w:r>
          </w:p>
        </w:tc>
        <w:tc>
          <w:tcPr>
            <w:tcW w:type="dxa" w:w="2635"/>
            <w:shd w:val="clear" w:color="auto" w:fill="1F2A44"/>
          </w:tcPr>
          <w:p>
            <w:pPr>
              <w:spacing w:before="40" w:after="40"/>
            </w:pPr>
            <w:r/>
            <w:r>
              <w:rPr>
                <w:rFonts w:ascii="Arial" w:hAnsi="Arial"/>
                <w:b/>
                <w:i w:val="0"/>
                <w:color w:val="FFFFFF"/>
                <w:sz w:val="20"/>
              </w:rPr>
              <w:t>Value Proposition 1</w:t>
            </w:r>
          </w:p>
        </w:tc>
        <w:tc>
          <w:tcPr>
            <w:tcW w:type="dxa" w:w="2635"/>
            <w:shd w:val="clear" w:color="auto" w:fill="1F2A44"/>
          </w:tcPr>
          <w:p>
            <w:pPr>
              <w:spacing w:before="40" w:after="40"/>
            </w:pPr>
            <w:r/>
            <w:r>
              <w:rPr>
                <w:rFonts w:ascii="Arial" w:hAnsi="Arial"/>
                <w:b/>
                <w:i w:val="0"/>
                <w:color w:val="FFFFFF"/>
                <w:sz w:val="20"/>
              </w:rPr>
              <w:t>Value Proposition 2</w:t>
            </w:r>
          </w:p>
        </w:tc>
        <w:tc>
          <w:tcPr>
            <w:tcW w:type="dxa" w:w="2635"/>
            <w:shd w:val="clear" w:color="auto" w:fill="1F2A44"/>
          </w:tcPr>
          <w:p>
            <w:pPr>
              <w:spacing w:before="40" w:after="40"/>
            </w:pPr>
            <w:r/>
            <w:r>
              <w:rPr>
                <w:rFonts w:ascii="Arial" w:hAnsi="Arial"/>
                <w:b/>
                <w:i w:val="0"/>
                <w:color w:val="FFFFFF"/>
                <w:sz w:val="20"/>
              </w:rPr>
              <w:t>Value Proposition 3</w:t>
            </w:r>
          </w:p>
        </w:tc>
      </w:tr>
      <w:tr>
        <w:tc>
          <w:tcPr>
            <w:tcW w:type="dxa" w:w="2160"/>
            <w:shd w:val="clear" w:color="auto" w:fill="EAEEF5"/>
          </w:tcPr>
          <w:p>
            <w:pPr>
              <w:spacing w:before="40" w:after="40"/>
            </w:pPr>
            <w:r/>
            <w:r>
              <w:rPr>
                <w:rFonts w:ascii="Arial" w:hAnsi="Arial"/>
                <w:b/>
                <w:i w:val="0"/>
                <w:color w:val="1F2A44"/>
                <w:sz w:val="20"/>
              </w:rPr>
              <w:t>Pillar</w:t>
            </w:r>
          </w:p>
        </w:tc>
        <w:tc>
          <w:tcPr>
            <w:tcW w:type="dxa" w:w="2635"/>
          </w:tcPr>
          <w:p>
            <w:pPr>
              <w:spacing w:before="40" w:after="40"/>
            </w:pPr>
            <w:r/>
            <w:r>
              <w:rPr>
                <w:rFonts w:ascii="Arial" w:hAnsi="Arial"/>
                <w:b/>
                <w:i w:val="0"/>
                <w:sz w:val="20"/>
              </w:rPr>
              <w:t>Plan-free perimeter: Nothing of yours leaves the building</w:t>
            </w:r>
          </w:p>
          <w:p>
            <w:pPr>
              <w:spacing w:before="0" w:after="40"/>
            </w:pPr>
            <w:r>
              <w:rPr>
                <w:rFonts w:ascii="Arial" w:hAnsi="Arial"/>
                <w:b/>
                <w:i w:val="0"/>
                <w:sz w:val="20"/>
              </w:rPr>
              <w:t>لا يغادر شيء من بياناتكم مقرّكم</w:t>
            </w:r>
          </w:p>
        </w:tc>
        <w:tc>
          <w:tcPr>
            <w:tcW w:type="dxa" w:w="2635"/>
          </w:tcPr>
          <w:p>
            <w:pPr>
              <w:spacing w:before="40" w:after="40"/>
            </w:pPr>
            <w:r/>
            <w:r>
              <w:rPr>
                <w:rFonts w:ascii="Arial" w:hAnsi="Arial"/>
                <w:b/>
                <w:i w:val="0"/>
                <w:sz w:val="20"/>
              </w:rPr>
              <w:t>An AI bill you write, not one you receive</w:t>
            </w:r>
          </w:p>
          <w:p>
            <w:pPr>
              <w:spacing w:before="0" w:after="40"/>
            </w:pPr>
            <w:r>
              <w:rPr>
                <w:rFonts w:ascii="Arial" w:hAnsi="Arial"/>
                <w:b/>
                <w:i w:val="0"/>
                <w:sz w:val="20"/>
              </w:rPr>
              <w:t>فاتورة ذكاء اصطناعي تكتبونها، لا تصلكم</w:t>
            </w:r>
          </w:p>
        </w:tc>
        <w:tc>
          <w:tcPr>
            <w:tcW w:type="dxa" w:w="2635"/>
          </w:tcPr>
          <w:p>
            <w:pPr>
              <w:spacing w:before="40" w:after="40"/>
            </w:pPr>
            <w:r/>
            <w:r>
              <w:rPr>
                <w:rFonts w:ascii="Arial" w:hAnsi="Arial"/>
                <w:b/>
                <w:i w:val="0"/>
                <w:sz w:val="20"/>
              </w:rPr>
              <w:t>An agent that reaches the systems that actually run your company</w:t>
            </w:r>
          </w:p>
          <w:p>
            <w:pPr>
              <w:spacing w:before="0" w:after="40"/>
            </w:pPr>
            <w:r>
              <w:rPr>
                <w:rFonts w:ascii="Arial" w:hAnsi="Arial"/>
                <w:b/>
                <w:i w:val="0"/>
                <w:sz w:val="20"/>
              </w:rPr>
              <w:t>وكيل يصل إلى الأنظمة التي تُدير منشأتكم فعلاً</w:t>
            </w:r>
          </w:p>
        </w:tc>
      </w:tr>
      <w:tr>
        <w:tc>
          <w:tcPr>
            <w:tcW w:type="dxa" w:w="2160"/>
            <w:shd w:val="clear" w:color="auto" w:fill="EAEEF5"/>
          </w:tcPr>
          <w:p>
            <w:pPr>
              <w:spacing w:before="40" w:after="40"/>
            </w:pPr>
            <w:r/>
            <w:r>
              <w:rPr>
                <w:rFonts w:ascii="Arial" w:hAnsi="Arial"/>
                <w:b/>
                <w:i w:val="0"/>
                <w:color w:val="1F2A44"/>
                <w:sz w:val="20"/>
              </w:rPr>
              <w:t>Layers defended</w:t>
            </w:r>
          </w:p>
        </w:tc>
        <w:tc>
          <w:tcPr>
            <w:tcW w:type="dxa" w:w="2635"/>
          </w:tcPr>
          <w:p>
            <w:pPr>
              <w:spacing w:before="40" w:after="40"/>
            </w:pPr>
            <w:r/>
            <w:r>
              <w:rPr>
                <w:rFonts w:ascii="Arial" w:hAnsi="Arial"/>
                <w:b w:val="0"/>
                <w:i w:val="0"/>
                <w:sz w:val="20"/>
              </w:rPr>
              <w:t>Platform control plane and Saudi regulatory fit</w:t>
            </w:r>
          </w:p>
        </w:tc>
        <w:tc>
          <w:tcPr>
            <w:tcW w:type="dxa" w:w="2635"/>
          </w:tcPr>
          <w:p>
            <w:pPr>
              <w:spacing w:before="40" w:after="40"/>
            </w:pPr>
            <w:r/>
            <w:r>
              <w:rPr>
                <w:rFonts w:ascii="Arial" w:hAnsi="Arial"/>
                <w:b w:val="0"/>
                <w:i w:val="0"/>
                <w:sz w:val="20"/>
              </w:rPr>
              <w:t>Platform control plane and the pass-through economics</w:t>
            </w:r>
          </w:p>
        </w:tc>
        <w:tc>
          <w:tcPr>
            <w:tcW w:type="dxa" w:w="2635"/>
          </w:tcPr>
          <w:p>
            <w:pPr>
              <w:spacing w:before="40" w:after="40"/>
            </w:pPr>
            <w:r/>
            <w:r>
              <w:rPr>
                <w:rFonts w:ascii="Arial" w:hAnsi="Arial"/>
                <w:b w:val="0"/>
                <w:i w:val="0"/>
                <w:sz w:val="20"/>
              </w:rPr>
              <w:t>Agentic harness and cloud service engagement</w:t>
            </w:r>
          </w:p>
        </w:tc>
      </w:tr>
      <w:tr>
        <w:tc>
          <w:tcPr>
            <w:tcW w:type="dxa" w:w="2160"/>
            <w:shd w:val="clear" w:color="auto" w:fill="EAEEF5"/>
          </w:tcPr>
          <w:p>
            <w:pPr>
              <w:spacing w:before="40" w:after="40"/>
            </w:pPr>
            <w:r/>
            <w:r>
              <w:rPr>
                <w:rFonts w:ascii="Arial" w:hAnsi="Arial"/>
                <w:b/>
                <w:i w:val="0"/>
                <w:color w:val="1F2A44"/>
                <w:sz w:val="20"/>
              </w:rPr>
              <w:t>Description</w:t>
            </w:r>
          </w:p>
          <w:p>
            <w:pPr>
              <w:spacing w:before="0" w:after="40"/>
            </w:pPr>
            <w:r>
              <w:rPr>
                <w:rFonts w:ascii="Arial" w:hAnsi="Arial"/>
                <w:b/>
                <w:i w:val="0"/>
                <w:color w:val="1F2A44"/>
                <w:sz w:val="20"/>
              </w:rPr>
              <w:t>What makes your solution unique? These are your differentiators.</w:t>
            </w:r>
          </w:p>
        </w:tc>
        <w:tc>
          <w:tcPr>
            <w:tcW w:type="dxa" w:w="2635"/>
          </w:tcPr>
          <w:p>
            <w:pPr>
              <w:spacing w:before="40" w:after="40"/>
            </w:pPr>
            <w:r/>
            <w:r>
              <w:rPr>
                <w:rFonts w:ascii="Arial" w:hAnsi="Arial"/>
                <w:b w:val="0"/>
                <w:i w:val="0"/>
                <w:sz w:val="20"/>
              </w:rPr>
              <w:t>Data residency stops being a contractual promise you have to defend and becomes an architecture you can point at. For a Saudi regulated buyer this is not a feature, it is the precondition for the project existing at all.</w:t>
            </w:r>
          </w:p>
        </w:tc>
        <w:tc>
          <w:tcPr>
            <w:tcW w:type="dxa" w:w="2635"/>
          </w:tcPr>
          <w:p>
            <w:pPr>
              <w:spacing w:before="40" w:after="40"/>
            </w:pPr>
            <w:r/>
            <w:r>
              <w:rPr>
                <w:rFonts w:ascii="Arial" w:hAnsi="Arial"/>
                <w:b w:val="0"/>
                <w:i w:val="0"/>
                <w:sz w:val="20"/>
              </w:rPr>
              <w:t>On every metered plan, the more your agents work the more you pay, so finance ends up rationing exactly the behaviour that creates the value. Wolffish inverts that, and the inversion is structural rather than promotional, because Wolffish takes no margin on inference.</w:t>
            </w:r>
          </w:p>
        </w:tc>
        <w:tc>
          <w:tcPr>
            <w:tcW w:type="dxa" w:w="2635"/>
          </w:tcPr>
          <w:p>
            <w:pPr>
              <w:spacing w:before="40" w:after="40"/>
            </w:pPr>
            <w:r/>
            <w:r>
              <w:rPr>
                <w:rFonts w:ascii="Arial" w:hAnsi="Arial"/>
                <w:b w:val="0"/>
                <w:i w:val="0"/>
                <w:sz w:val="20"/>
              </w:rPr>
              <w:t>Every vendor offers connectors: a catalogue of read-mostly integrations built for the average customer and scoped to what is safe to expose to a multi-tenant platform. The systems that actually run a Saudi enterprise are not in that catalogue, and never will be.</w:t>
            </w:r>
          </w:p>
        </w:tc>
      </w:tr>
      <w:tr>
        <w:tc>
          <w:tcPr>
            <w:tcW w:type="dxa" w:w="2160"/>
            <w:shd w:val="clear" w:color="auto" w:fill="EAEEF5"/>
          </w:tcPr>
          <w:p>
            <w:pPr>
              <w:spacing w:before="40" w:after="40"/>
            </w:pPr>
            <w:r/>
            <w:r>
              <w:rPr>
                <w:rFonts w:ascii="Arial" w:hAnsi="Arial"/>
                <w:b/>
                <w:i w:val="0"/>
                <w:color w:val="1F2A44"/>
                <w:sz w:val="20"/>
              </w:rPr>
              <w:t>Reasons to Believe</w:t>
            </w:r>
          </w:p>
          <w:p>
            <w:pPr>
              <w:spacing w:before="0" w:after="40"/>
            </w:pPr>
            <w:r>
              <w:rPr>
                <w:rFonts w:ascii="Arial" w:hAnsi="Arial"/>
                <w:b/>
                <w:i w:val="0"/>
                <w:color w:val="1F2A44"/>
                <w:sz w:val="20"/>
              </w:rPr>
              <w:t>What is the proof you can deliver on your promise?</w:t>
            </w:r>
          </w:p>
        </w:tc>
        <w:tc>
          <w:tcPr>
            <w:tcW w:type="dxa" w:w="2635"/>
          </w:tcPr>
          <w:p>
            <w:pPr>
              <w:spacing w:before="40" w:after="40"/>
            </w:pPr>
            <w:r/>
            <w:r>
              <w:rPr>
                <w:rFonts w:ascii="Arial" w:hAnsi="Arial"/>
                <w:b w:val="0"/>
                <w:i w:val="0"/>
                <w:sz w:val="20"/>
              </w:rPr>
              <w:t>1. Agents execute on the employee's own machine and inference goes to a zero-retention endpoint on your account. There is no path by which a prompt, a file or an output reaches Wolffish.</w:t>
            </w:r>
          </w:p>
          <w:p>
            <w:pPr>
              <w:spacing w:before="0" w:after="40"/>
            </w:pPr>
            <w:r>
              <w:rPr>
                <w:rFonts w:ascii="Arial" w:hAnsi="Arial"/>
                <w:b w:val="0"/>
                <w:i w:val="0"/>
                <w:sz w:val="20"/>
              </w:rPr>
            </w:r>
          </w:p>
          <w:p>
            <w:pPr>
              <w:spacing w:before="0" w:after="40"/>
            </w:pPr>
            <w:r>
              <w:rPr>
                <w:rFonts w:ascii="Arial" w:hAnsi="Arial"/>
                <w:b w:val="0"/>
                <w:i w:val="0"/>
                <w:sz w:val="20"/>
              </w:rPr>
              <w:t>2. The action-level audit log lives in your own store, attributed to an employee and a timestamp, with approval gates on sensitive operations and a kill switch per user and globally.</w:t>
            </w:r>
          </w:p>
          <w:p>
            <w:pPr>
              <w:spacing w:before="0" w:after="40"/>
            </w:pPr>
            <w:r>
              <w:rPr>
                <w:rFonts w:ascii="Arial" w:hAnsi="Arial"/>
                <w:b w:val="0"/>
                <w:i w:val="0"/>
                <w:sz w:val="20"/>
              </w:rPr>
            </w:r>
          </w:p>
          <w:p>
            <w:pPr>
              <w:spacing w:before="0" w:after="40"/>
            </w:pPr>
            <w:r>
              <w:rPr>
                <w:rFonts w:ascii="Arial" w:hAnsi="Arial"/>
                <w:b w:val="0"/>
                <w:i w:val="0"/>
                <w:sz w:val="20"/>
              </w:rPr>
              <w:t>3. Because nothing crosses the border, no SDAIA transfer mechanism is required, public-sector data stays CCSPR-conformant including for caching, and the NCA and NDMO evidence pack is shorter than any alternative you will evaluate.</w:t>
            </w:r>
          </w:p>
        </w:tc>
        <w:tc>
          <w:tcPr>
            <w:tcW w:type="dxa" w:w="2635"/>
          </w:tcPr>
          <w:p>
            <w:pPr>
              <w:spacing w:before="40" w:after="40"/>
            </w:pPr>
            <w:r/>
            <w:r>
              <w:rPr>
                <w:rFonts w:ascii="Arial" w:hAnsi="Arial"/>
                <w:b w:val="0"/>
                <w:i w:val="0"/>
                <w:sz w:val="20"/>
              </w:rPr>
              <w:t>1. SAR 79 per seat per month, fixed, with a hard token quota per person, per team and per period. Enforced as a cap, not raised as an alert.</w:t>
            </w:r>
          </w:p>
          <w:p>
            <w:pPr>
              <w:spacing w:before="0" w:after="40"/>
            </w:pPr>
            <w:r>
              <w:rPr>
                <w:rFonts w:ascii="Arial" w:hAnsi="Arial"/>
                <w:b w:val="0"/>
                <w:i w:val="0"/>
                <w:sz w:val="20"/>
              </w:rPr>
            </w:r>
          </w:p>
          <w:p>
            <w:pPr>
              <w:spacing w:before="0" w:after="40"/>
            </w:pPr>
            <w:r>
              <w:rPr>
                <w:rFonts w:ascii="Arial" w:hAnsi="Arial"/>
                <w:b w:val="0"/>
                <w:i w:val="0"/>
                <w:sz w:val="20"/>
              </w:rPr>
              <w:t>2. Inference bills to your own account at open-weight rates twenty to fifty times below frontier models. SAR 30 of tokens buys roughly 100 million input and 8 million output with caching; the same SAR 30 at frontier rates buys about 2 to 3 million input.</w:t>
            </w:r>
          </w:p>
          <w:p>
            <w:pPr>
              <w:spacing w:before="0" w:after="40"/>
            </w:pPr>
            <w:r>
              <w:rPr>
                <w:rFonts w:ascii="Arial" w:hAnsi="Arial"/>
                <w:b w:val="0"/>
                <w:i w:val="0"/>
                <w:sz w:val="20"/>
              </w:rPr>
            </w:r>
          </w:p>
          <w:p>
            <w:pPr>
              <w:spacing w:before="0" w:after="40"/>
            </w:pPr>
            <w:r>
              <w:rPr>
                <w:rFonts w:ascii="Arial" w:hAnsi="Arial"/>
                <w:b w:val="0"/>
                <w:i w:val="0"/>
                <w:sz w:val="20"/>
              </w:rPr>
              <w:t>3. Landed cost is SAR 124 to 184 per employee per month, everything included, against roughly SAR 225 for a ChatGPT Enterprise seat with no agents in it, and 1.8 to 5.7 times below a metered Claude stack at the same headcount.</w:t>
            </w:r>
          </w:p>
        </w:tc>
        <w:tc>
          <w:tcPr>
            <w:tcW w:type="dxa" w:w="2635"/>
          </w:tcPr>
          <w:p>
            <w:pPr>
              <w:spacing w:before="40" w:after="40"/>
            </w:pPr>
            <w:r/>
            <w:r>
              <w:rPr>
                <w:rFonts w:ascii="Arial" w:hAnsi="Arial"/>
                <w:b w:val="0"/>
                <w:i w:val="0"/>
                <w:sz w:val="20"/>
              </w:rPr>
              <w:t>1. First-class integrations are built for your stack during deployment: your internal services, your database, your bespoke admin, your twelve-year-old policy engine, with write access, your domain model and approval gates you define. Credentials stay inside your perimeter and are never issued to us.</w:t>
            </w:r>
          </w:p>
          <w:p>
            <w:pPr>
              <w:spacing w:before="0" w:after="40"/>
            </w:pPr>
            <w:r>
              <w:rPr>
                <w:rFonts w:ascii="Arial" w:hAnsi="Arial"/>
                <w:b w:val="0"/>
                <w:i w:val="0"/>
                <w:sz w:val="20"/>
              </w:rPr>
            </w:r>
          </w:p>
          <w:p>
            <w:pPr>
              <w:spacing w:before="0" w:after="40"/>
            </w:pPr>
            <w:r>
              <w:rPr>
                <w:rFonts w:ascii="Arial" w:hAnsi="Arial"/>
                <w:b w:val="0"/>
                <w:i w:val="0"/>
                <w:sz w:val="20"/>
              </w:rPr>
              <w:t>2. One persistent agent per employee, running on their own machine with real file and command permissions and an Arabic-first interface. Not a chat box in a sidebar, and not a tool only your engineers can use.</w:t>
            </w:r>
          </w:p>
          <w:p>
            <w:pPr>
              <w:spacing w:before="0" w:after="40"/>
            </w:pPr>
            <w:r>
              <w:rPr>
                <w:rFonts w:ascii="Arial" w:hAnsi="Arial"/>
                <w:b w:val="0"/>
                <w:i w:val="0"/>
                <w:sz w:val="20"/>
              </w:rPr>
            </w:r>
          </w:p>
          <w:p>
            <w:pPr>
              <w:spacing w:before="0" w:after="40"/>
            </w:pPr>
            <w:r>
              <w:rPr>
                <w:rFonts w:ascii="Arial" w:hAnsi="Arial"/>
                <w:b w:val="0"/>
                <w:i w:val="0"/>
                <w:sz w:val="20"/>
              </w:rPr>
              <w:t>3. One to two weeks scoping, three to six weeks build, then a pilot cohort before the company. New agent capabilities are scoped and shipped inside the quarter under your capability allowance.</w:t>
            </w:r>
          </w:p>
        </w:tc>
      </w:tr>
    </w:tbl>
    <w:p>
      <w:pPr>
        <w:spacing w:before="320" w:after="80"/>
      </w:pPr>
      <w:r>
        <w:rPr>
          <w:rFonts w:ascii="Arial" w:hAnsi="Arial"/>
          <w:b/>
          <w:i w:val="0"/>
          <w:color w:val="1F2A44"/>
          <w:sz w:val="30"/>
        </w:rPr>
        <w:t>Value Proposition Drill Down</w:t>
      </w:r>
    </w:p>
    <w:p>
      <w:pPr>
        <w:spacing w:before="0" w:after="160"/>
      </w:pPr>
      <w:r>
        <w:rPr>
          <w:rFonts w:ascii="Arial" w:hAnsi="Arial"/>
          <w:b w:val="0"/>
          <w:i/>
          <w:color w:val="666666"/>
          <w:sz w:val="17"/>
        </w:rPr>
        <w:t>Each reason to believe expanded into three headline registers, a bilingual headline, and two tiers of copy. The Arabic headline is the primary in Arabic-first channels. The persona line names who the copy is aimed at, because the wrong message in the right room is the most common failure in this market.</w:t>
      </w:r>
    </w:p>
    <w:p>
      <w:pPr>
        <w:spacing w:before="240" w:after="80"/>
      </w:pPr>
      <w:r>
        <w:rPr>
          <w:rFonts w:ascii="Arial" w:hAnsi="Arial"/>
          <w:b/>
          <w:i w:val="0"/>
          <w:color w:val="1F2A44"/>
          <w:sz w:val="24"/>
        </w:rPr>
        <w:t>Value Proposition: Nothing of yours leaves the building</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(1.1)</w:t>
            </w:r>
          </w:p>
        </w:tc>
        <w:tc>
          <w:tcPr>
            <w:tcW w:type="dxa" w:w="6624"/>
          </w:tcPr>
          <w:p>
            <w:pPr>
              <w:spacing w:before="40" w:after="40"/>
            </w:pPr>
            <w:r/>
            <w:r>
              <w:rPr>
                <w:rFonts w:ascii="Arial" w:hAnsi="Arial"/>
                <w:b w:val="0"/>
                <w:i w:val="0"/>
                <w:sz w:val="20"/>
              </w:rPr>
              <w:t>Agents execute on the employee's own machine and inference goes to a zero-retention endpoint on your account. There is no path by which a prompt, a file or an output reaches Wolffish.</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CISO / Head of Information Security, Data Protection Officer, Enterprise Architect, CEO or Managing Director</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We do not protect your data. We never receive it.</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The only vendor promise you never have to trust</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The architecture your CISO stops arguing with</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لا نحمي بياناتكم، بل لا نستلمها أصلاً</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Agents run on your employees' machines. Inference goes to your own zero-retention endpoint. No prompt, file or output has a route to us. Inspect it.</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Every other vendor on your shortlist is offering you a commitment about how they will handle your data after they receive it. Wolffish is offering you the absence of the receipt. Wolffish holds no customer credentials, operates no shared instance, and stores no customer data of any kind. The architecture diagram is provided before the first meeting, not after the contract, because the whole argument is that it can be inspected rather than believed. Deliver this as a diagram the CISO can trace with a finger, then stop talking.</w:t>
            </w:r>
          </w:p>
        </w:tc>
      </w:tr>
    </w:tbl>
    <w:p>
      <w:pPr>
        <w:spacing w:before="0" w:after="80"/>
      </w:pPr>
      <w:r>
        <w:rPr>
          <w:rFonts w:ascii="Arial" w:hAnsi="Arial"/>
          <w:b w:val="0"/>
          <w:i w:val="0"/>
          <w:sz w:val="8"/>
        </w:rPr>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(1.2)</w:t>
            </w:r>
          </w:p>
        </w:tc>
        <w:tc>
          <w:tcPr>
            <w:tcW w:type="dxa" w:w="6624"/>
          </w:tcPr>
          <w:p>
            <w:pPr>
              <w:spacing w:before="40" w:after="40"/>
            </w:pPr>
            <w:r/>
            <w:r>
              <w:rPr>
                <w:rFonts w:ascii="Arial" w:hAnsi="Arial"/>
                <w:b w:val="0"/>
                <w:i w:val="0"/>
                <w:sz w:val="20"/>
              </w:rPr>
              <w:t>The action-level audit log lives in your own store, attributed to an employee and a timestamp, with approval gates on sensitive operations and a kill switch per user and globally.</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CISO / Head of Information Security, Internal Audit, Compliance Officer, CIO or Head of Digital</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When the auditor asks who did what, you answer. Not your vendor.</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Every action, attributed, in a store you own</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Copilot's own reviewers name auditing as the gap. This is the answer.</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سجلّ تدقيق كامل، في مخزنكم أنتم، لا لدى المورّد</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Action-level audit, attributed to an employee and a timestamp, written into your own storage. Approval gates on sensitive operations. A kill switch per user and globally.</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Your regulator asks what happened on the fourteenth. You query your own audit store and answer the same day, with no vendor ticket and no waiting. Microsoft 365 Copilot reviewers cite a lack of transparency and auditing features as a recurring weakness across G2, Capterra and Gartner Peer Insights, which makes this the one place where the incumbent's own users have already made the argument for you. Wolffish writes the log into infrastructure the customer owns and Wolffish cannot read.</w:t>
            </w:r>
          </w:p>
        </w:tc>
      </w:tr>
    </w:tbl>
    <w:p>
      <w:pPr>
        <w:spacing w:before="0" w:after="80"/>
      </w:pPr>
      <w:r>
        <w:rPr>
          <w:rFonts w:ascii="Arial" w:hAnsi="Arial"/>
          <w:b w:val="0"/>
          <w:i w:val="0"/>
          <w:sz w:val="8"/>
        </w:rPr>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(1.3)</w:t>
            </w:r>
          </w:p>
        </w:tc>
        <w:tc>
          <w:tcPr>
            <w:tcW w:type="dxa" w:w="6624"/>
          </w:tcPr>
          <w:p>
            <w:pPr>
              <w:spacing w:before="40" w:after="40"/>
            </w:pPr>
            <w:r/>
            <w:r>
              <w:rPr>
                <w:rFonts w:ascii="Arial" w:hAnsi="Arial"/>
                <w:b w:val="0"/>
                <w:i w:val="0"/>
                <w:sz w:val="20"/>
              </w:rPr>
              <w:t>Because nothing crosses the border, no SDAIA transfer mechanism is required, public-sector data stays CCSPR-conformant including for caching, and the NCA and NDMO evidence pack is shorter than any alternative.</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CISO / Head of Information Security, Data Protection Officer, General Counsel, Compliance Officer</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No cross-border transfer. So no transfer basis to build.</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The PDPL question that answers itself</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SDAIA has issued 48 enforcement decisions. None of them can concern data that never moved.</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لا نقل للبيانات خارج المملكة، فلا حاجة لآلية نقل من الأساس</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SDAIA has published no adequacy list. Every foreign AI vendor's residency story is therefore a mechanism your DPO has to build and defend. Ours is an absence.</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PDPL fines reach SAR 5 million per breach and double on repeat, and SDAIA issued 48 enforcement decisions in the year to early 2026. Under the Cloud Computing Services Provisioning Regulations, public-sector data may not be transferred outside the Kingdom for any purpose, permanently or temporarily, including caching and redundancy. Wolffish does not move it at all, which is the whole compliance argument. Never say 'we are data-resident': every competitor says that. Say 'there is no mechanism by which your data could leave, so you do not need a transfer basis for it.' The first is a promise. The second is an architecture.</w:t>
            </w:r>
          </w:p>
        </w:tc>
      </w:tr>
    </w:tbl>
    <w:p>
      <w:pPr>
        <w:spacing w:before="0" w:after="80"/>
      </w:pPr>
      <w:r>
        <w:rPr>
          <w:rFonts w:ascii="Arial" w:hAnsi="Arial"/>
          <w:b w:val="0"/>
          <w:i w:val="0"/>
          <w:sz w:val="8"/>
        </w:rPr>
      </w:r>
    </w:p>
    <w:p>
      <w:pPr>
        <w:spacing w:before="240" w:after="80"/>
      </w:pPr>
      <w:r>
        <w:rPr>
          <w:rFonts w:ascii="Arial" w:hAnsi="Arial"/>
          <w:b/>
          <w:i w:val="0"/>
          <w:color w:val="1F2A44"/>
          <w:sz w:val="24"/>
        </w:rPr>
        <w:t>Value Proposition: An AI bill you write, not one you receive</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(2.1)</w:t>
            </w:r>
          </w:p>
        </w:tc>
        <w:tc>
          <w:tcPr>
            <w:tcW w:type="dxa" w:w="6624"/>
          </w:tcPr>
          <w:p>
            <w:pPr>
              <w:spacing w:before="40" w:after="40"/>
            </w:pPr>
            <w:r/>
            <w:r>
              <w:rPr>
                <w:rFonts w:ascii="Arial" w:hAnsi="Arial"/>
                <w:b w:val="0"/>
                <w:i w:val="0"/>
                <w:sz w:val="20"/>
              </w:rPr>
              <w:t>SAR 79 per seat per month, fixed, with a hard token quota per person, per team and per period. Enforced as a cap, not raised as an alert.</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CFO / Finance Director, Head of FP&amp;A, CIO or Head of Digital, CEO or Managing Director</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A hard cap. Not a spend alert.</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Stop rationing the thing that creates the value</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78 percent of IT leaders were surprised by an AI charge this year. Set the number instead.</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سقف صارم للاستهلاك، لا مجرد تنبيه بالتجاوز</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SAR 79 per employee per month for the platform, the agents, the SLA and the maintenance. Quotas set per person, per team and per period, and enforced.</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A spend alert tells you the budget is gone. A hard cap means it never was. Your finance team sets the number, and the number holds. Ninety percent of CIOs name AI cost forecasting as their top deployment challenge, Uber exhausted its full 2026 AI budget by April after deploying an agentic coding tool across thousands of engineers, and Anthropic shipped Enterprise spend controls in July 2026, which is an admission that alerting was never enough. Demonstrate the cap live in the meeting rather than describing it.</w:t>
            </w:r>
          </w:p>
        </w:tc>
      </w:tr>
    </w:tbl>
    <w:p>
      <w:pPr>
        <w:spacing w:before="0" w:after="80"/>
      </w:pPr>
      <w:r>
        <w:rPr>
          <w:rFonts w:ascii="Arial" w:hAnsi="Arial"/>
          <w:b w:val="0"/>
          <w:i w:val="0"/>
          <w:sz w:val="8"/>
        </w:rPr>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(2.2)</w:t>
            </w:r>
          </w:p>
        </w:tc>
        <w:tc>
          <w:tcPr>
            <w:tcW w:type="dxa" w:w="6624"/>
          </w:tcPr>
          <w:p>
            <w:pPr>
              <w:spacing w:before="40" w:after="40"/>
            </w:pPr>
            <w:r/>
            <w:r>
              <w:rPr>
                <w:rFonts w:ascii="Arial" w:hAnsi="Arial"/>
                <w:b w:val="0"/>
                <w:i w:val="0"/>
                <w:sz w:val="20"/>
              </w:rPr>
              <w:t>Inference bills to your own account at open-weight rates twenty to fifty times below frontier models. SAR 30 of tokens buys roughly 100 million input and 8 million output with caching.</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CFO / Finance Director, CIO or Head of Digital, Enterprise Architect, engineering leadership</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Same budget. Thirty times the work.</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Let the agent run all afternoon. It costs halalas.</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An agentic task uses a thousand times the tokens of a chat turn. Price it accordingly.</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الميزانية نفسها، وثلاثون ضعف الإنجاز</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A chat turn is a few thousand tokens. An agent that reads a repository, plans, runs commands, reads the output and iterates is millions per task. On frontier pricing that behaviour is financially rationed. On your own account it is not.</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SAR 30 of tokens on open weights buys roughly 100 million input and 8 million output; at frontier rates the same SAR 30 buys about two to three million input. That gap is the product. DeepSeek V4-Flash on DeepInfra runs at USD 0.14 per million input and USD 0.28 output, with cache hits at USD 0.0028, and agent loops resend the same system prompt, tool definitions and file context constantly, so most input is cached. Wolffish takes no margin on inference and never resells it, which is the only reason this argument is credible: the moment a token generated Wolffish revenue, the interests that make the pitch believable would invert.</w:t>
            </w:r>
          </w:p>
        </w:tc>
      </w:tr>
    </w:tbl>
    <w:p>
      <w:pPr>
        <w:spacing w:before="0" w:after="80"/>
      </w:pPr>
      <w:r>
        <w:rPr>
          <w:rFonts w:ascii="Arial" w:hAnsi="Arial"/>
          <w:b w:val="0"/>
          <w:i w:val="0"/>
          <w:sz w:val="8"/>
        </w:rPr>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(2.3)</w:t>
            </w:r>
          </w:p>
        </w:tc>
        <w:tc>
          <w:tcPr>
            <w:tcW w:type="dxa" w:w="6624"/>
          </w:tcPr>
          <w:p>
            <w:pPr>
              <w:spacing w:before="40" w:after="40"/>
            </w:pPr>
            <w:r/>
            <w:r>
              <w:rPr>
                <w:rFonts w:ascii="Arial" w:hAnsi="Arial"/>
                <w:b w:val="0"/>
                <w:i w:val="0"/>
                <w:sz w:val="20"/>
              </w:rPr>
              <w:t>Landed cost is SAR 124 to 184 per employee per month, everything included, against roughly SAR 225 for a ChatGPT Enterprise seat with no agents in it.</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CFO / Finance Director, CEO or Managing Director, Head of Procurement, board or audit committee</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SAR 124 to 184 per employee, all in, with agents.</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Half the cost, and the half you keep is the half that works</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Independent analyses put mid-market ChatGPT Enterprise at USD 250,000 to 400,000 a year for 300 to 500 users</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من ١٢٤ إلى ١٨٤ ريالاً لكل موظف شهرياً، شاملة كل شيء</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Three lines, and we are honest about all three. SAR 60,000 once for the deployment. SAR 79 per seat per month to us. SAR 45 to 55 per seat to your own inference and infrastructure providers, never through us.</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We show you the pass-through line before you find it, because a comparison that hides a third of the cost is not a comparison your CFO will accept. At 300 seats in year two onward: Wolffish landed at SAR 464,400, against a modelled ChatGPT Enterprise at SAR 904,500 and a Claude Code rollout at SAR 851,850. State plainly that Microsoft 365 Copilot at USD 30 per seat is cheaper than Wolffish, roughly SAR 405,000 at the same headcount, and then compare capability rather than price: no device execution, no enforced quota, no customer-owned audit log, no custom integration. Never shorten this to SAR 79 against a competitor seat price.</w:t>
            </w:r>
          </w:p>
        </w:tc>
      </w:tr>
    </w:tbl>
    <w:p>
      <w:pPr>
        <w:spacing w:before="0" w:after="80"/>
      </w:pPr>
      <w:r>
        <w:rPr>
          <w:rFonts w:ascii="Arial" w:hAnsi="Arial"/>
          <w:b w:val="0"/>
          <w:i w:val="0"/>
          <w:sz w:val="8"/>
        </w:rPr>
      </w:r>
    </w:p>
    <w:p>
      <w:pPr>
        <w:spacing w:before="240" w:after="80"/>
      </w:pPr>
      <w:r>
        <w:rPr>
          <w:rFonts w:ascii="Arial" w:hAnsi="Arial"/>
          <w:b/>
          <w:i w:val="0"/>
          <w:color w:val="1F2A44"/>
          <w:sz w:val="24"/>
        </w:rPr>
        <w:t>Value Proposition: An agent that reaches the systems that actually run your company</w:t>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(3.1)</w:t>
            </w:r>
          </w:p>
        </w:tc>
        <w:tc>
          <w:tcPr>
            <w:tcW w:type="dxa" w:w="6624"/>
          </w:tcPr>
          <w:p>
            <w:pPr>
              <w:spacing w:before="40" w:after="40"/>
            </w:pPr>
            <w:r/>
            <w:r>
              <w:rPr>
                <w:rFonts w:ascii="Arial" w:hAnsi="Arial"/>
                <w:b w:val="0"/>
                <w:i w:val="0"/>
                <w:sz w:val="20"/>
              </w:rPr>
              <w:t>First-class integrations are built for your stack during deployment: internal services, your database, your bespoke admin, your legacy policy engine, with write access and approval gates you define.</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CIO or Head of Digital, Enterprise Architect, the business owner of the internal system, CEO or Managing Director</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A connector reads your CRM. We write to the system you built in 2013.</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The system nobody would integrate with, finally reachable</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Every vendor has a connector catalogue. None of them has your admin tool in it.</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الكتالوج الجاهز يقرأ نظامكم السحابي. نحن نكتب في نظامكم الداخلي</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Vendor connectors are built for the average customer and scoped to what is safe to expose to a multi-tenant platform. Yours is not the average customer, and your internal tools are not on anybody's roadmap.</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An agent that prepares the call from history, drafts the follow-up in Arabic, updates the record, flags the account as going quiet, and builds the proposal from your own template, because it is wired into your systems during deployment rather than reached through a catalogue. Wolffish integrations use your identity provider, your service accounts and your scopes; credentials live inside your perimeter and are never issued to Wolffish. Undocumented internal tools are supported, and are the reason the deployment is custom rather than templated. In a first meeting, ask directly: which system has every integration project refused to touch?</w:t>
            </w:r>
          </w:p>
        </w:tc>
      </w:tr>
    </w:tbl>
    <w:p>
      <w:pPr>
        <w:spacing w:before="0" w:after="80"/>
      </w:pPr>
      <w:r>
        <w:rPr>
          <w:rFonts w:ascii="Arial" w:hAnsi="Arial"/>
          <w:b w:val="0"/>
          <w:i w:val="0"/>
          <w:sz w:val="8"/>
        </w:rPr>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(3.2)</w:t>
            </w:r>
          </w:p>
        </w:tc>
        <w:tc>
          <w:tcPr>
            <w:tcW w:type="dxa" w:w="6624"/>
          </w:tcPr>
          <w:p>
            <w:pPr>
              <w:spacing w:before="40" w:after="40"/>
            </w:pPr>
            <w:r/>
            <w:r>
              <w:rPr>
                <w:rFonts w:ascii="Arial" w:hAnsi="Arial"/>
                <w:b w:val="0"/>
                <w:i w:val="0"/>
                <w:sz w:val="20"/>
              </w:rPr>
              <w:t>One persistent agent per employee, running on their own machine with real file and command permissions and an Arabic-first interface.</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CEO or Managing Director, department head, the knowledge workers themselves, HR and workforce planning</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One agent per employee. On their machine. With permissions.</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Your people stop being the copy-paste layer</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If your AI tool only works in English, you deployed it to half your company</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وكيل ذكي لكل موظف، على جهازه، وبالعربية أولاً</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Agents that read files, run commands and finish tasks, gated by approvals you configure, in the language your people actually work in.</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Chat drafts and hands it back. An agent finishes and reports. The difference is not intelligence, it is permissions, and who is allowed to grant them. Agents execute on the employee's device, which is why adding agent work adds tokens rather than compute and why there is no GPU line in the infrastructure cost. Arabic-first covers the interface, prompting, output and document handling, with Hijri dates. In a Saudi enterprise where fifty to eighty percent of knowledge workers operate primarily in Arabic, an English-only tool has effectively been deployed to half the company, and adoption becomes an English-fluency filter rather than a capability one.</w:t>
            </w:r>
          </w:p>
        </w:tc>
      </w:tr>
    </w:tbl>
    <w:p>
      <w:pPr>
        <w:spacing w:before="0" w:after="80"/>
      </w:pPr>
      <w:r>
        <w:rPr>
          <w:rFonts w:ascii="Arial" w:hAnsi="Arial"/>
          <w:b w:val="0"/>
          <w:i w:val="0"/>
          <w:sz w:val="8"/>
        </w:rPr>
      </w:r>
    </w:p>
    <w:tbl>
      <w:tblPr>
        <w:tblStyle w:val="TableGrid"/>
        <w:tblW w:type="auto" w:w="0"/>
        <w:jc w:val="center"/>
        <w:tblLook w:firstColumn="1" w:firstRow="1" w:lastColumn="0" w:lastRow="0" w:noHBand="0" w:noVBand="1" w:val="04A0"/>
      </w:tblPr>
      <w:tblGrid>
        <w:gridCol w:w="4968"/>
        <w:gridCol w:w="4968"/>
      </w:tblGrid>
      <w:tr>
        <w:tc>
          <w:tcPr>
            <w:tcW w:type="dxa" w:w="3312"/>
            <w:shd w:val="clear" w:color="auto" w:fill="EAEEF5"/>
          </w:tcPr>
          <w:p>
            <w:pPr>
              <w:spacing w:before="40" w:after="40"/>
            </w:pPr>
            <w:r/>
            <w:r>
              <w:rPr>
                <w:rFonts w:ascii="Arial" w:hAnsi="Arial"/>
                <w:b/>
                <w:i w:val="0"/>
                <w:color w:val="1F2A44"/>
                <w:sz w:val="20"/>
              </w:rPr>
              <w:t>Reason to Believe (3.3)</w:t>
            </w:r>
          </w:p>
        </w:tc>
        <w:tc>
          <w:tcPr>
            <w:tcW w:type="dxa" w:w="6624"/>
          </w:tcPr>
          <w:p>
            <w:pPr>
              <w:spacing w:before="40" w:after="40"/>
            </w:pPr>
            <w:r/>
            <w:r>
              <w:rPr>
                <w:rFonts w:ascii="Arial" w:hAnsi="Arial"/>
                <w:b w:val="0"/>
                <w:i w:val="0"/>
                <w:sz w:val="20"/>
              </w:rPr>
              <w:t>One to two weeks scoping, three to six weeks build, then a pilot cohort before the company. New capabilities are scoped and shipped inside the quarter under your capability allowance.</w:t>
            </w:r>
          </w:p>
        </w:tc>
      </w:tr>
      <w:tr>
        <w:tc>
          <w:tcPr>
            <w:tcW w:type="dxa" w:w="3312"/>
            <w:shd w:val="clear" w:color="auto" w:fill="EAEEF5"/>
          </w:tcPr>
          <w:p>
            <w:pPr>
              <w:spacing w:before="40" w:after="40"/>
            </w:pPr>
            <w:r/>
            <w:r>
              <w:rPr>
                <w:rFonts w:ascii="Arial" w:hAnsi="Arial"/>
                <w:b/>
                <w:i w:val="0"/>
                <w:color w:val="1F2A44"/>
                <w:sz w:val="20"/>
              </w:rPr>
              <w:t>Applicable Persona(s)</w:t>
            </w:r>
          </w:p>
          <w:p>
            <w:pPr>
              <w:spacing w:before="0" w:after="40"/>
            </w:pPr>
            <w:r>
              <w:rPr>
                <w:rFonts w:ascii="Arial" w:hAnsi="Arial"/>
                <w:b/>
                <w:i w:val="0"/>
                <w:color w:val="1F2A44"/>
                <w:sz w:val="20"/>
              </w:rPr>
              <w:t>Who is this targeted at?</w:t>
            </w:r>
          </w:p>
        </w:tc>
        <w:tc>
          <w:tcPr>
            <w:tcW w:type="dxa" w:w="6624"/>
          </w:tcPr>
          <w:p>
            <w:pPr>
              <w:spacing w:before="40" w:after="40"/>
            </w:pPr>
            <w:r/>
            <w:r>
              <w:rPr>
                <w:rFonts w:ascii="Arial" w:hAnsi="Arial"/>
                <w:b w:val="0"/>
                <w:i w:val="0"/>
                <w:sz w:val="20"/>
              </w:rPr>
              <w:t>CEO or Managing Director, CIO or Head of Digital, programme management office, department head</w:t>
            </w:r>
          </w:p>
        </w:tc>
      </w:tr>
      <w:tr>
        <w:tc>
          <w:tcPr>
            <w:tcW w:type="dxa" w:w="3312"/>
            <w:shd w:val="clear" w:color="auto" w:fill="EAEEF5"/>
          </w:tcPr>
          <w:p>
            <w:pPr>
              <w:spacing w:before="40" w:after="40"/>
            </w:pPr>
            <w:r/>
            <w:r>
              <w:rPr>
                <w:rFonts w:ascii="Arial" w:hAnsi="Arial"/>
                <w:b/>
                <w:i w:val="0"/>
                <w:color w:val="1F2A44"/>
                <w:sz w:val="20"/>
              </w:rPr>
              <w:t>Headline, rational</w:t>
            </w:r>
          </w:p>
          <w:p>
            <w:pPr>
              <w:spacing w:before="0" w:after="40"/>
            </w:pPr>
            <w:r>
              <w:rPr>
                <w:rFonts w:ascii="Arial" w:hAnsi="Arial"/>
                <w:b/>
                <w:i w:val="0"/>
                <w:color w:val="1F2A44"/>
                <w:sz w:val="20"/>
              </w:rPr>
              <w:t>The main, short copy for this reason to believe.</w:t>
            </w:r>
          </w:p>
        </w:tc>
        <w:tc>
          <w:tcPr>
            <w:tcW w:type="dxa" w:w="6624"/>
          </w:tcPr>
          <w:p>
            <w:pPr>
              <w:spacing w:before="40" w:after="40"/>
            </w:pPr>
            <w:r/>
            <w:r>
              <w:rPr>
                <w:rFonts w:ascii="Arial" w:hAnsi="Arial"/>
                <w:b w:val="0"/>
                <w:i w:val="0"/>
                <w:sz w:val="20"/>
              </w:rPr>
              <w:t>Six to eight weeks to a pilot cohort. Then it keeps arriving.</w:t>
            </w:r>
          </w:p>
        </w:tc>
      </w:tr>
      <w:tr>
        <w:tc>
          <w:tcPr>
            <w:tcW w:type="dxa" w:w="3312"/>
            <w:shd w:val="clear" w:color="auto" w:fill="EAEEF5"/>
          </w:tcPr>
          <w:p>
            <w:pPr>
              <w:spacing w:before="40" w:after="40"/>
            </w:pPr>
            <w:r/>
            <w:r>
              <w:rPr>
                <w:rFonts w:ascii="Arial" w:hAnsi="Arial"/>
                <w:b/>
                <w:i w:val="0"/>
                <w:color w:val="1F2A44"/>
                <w:sz w:val="20"/>
              </w:rPr>
              <w:t>Headline, emotional</w:t>
            </w:r>
          </w:p>
        </w:tc>
        <w:tc>
          <w:tcPr>
            <w:tcW w:type="dxa" w:w="6624"/>
          </w:tcPr>
          <w:p>
            <w:pPr>
              <w:spacing w:before="40" w:after="40"/>
            </w:pPr>
            <w:r/>
            <w:r>
              <w:rPr>
                <w:rFonts w:ascii="Arial" w:hAnsi="Arial"/>
                <w:b w:val="0"/>
                <w:i w:val="0"/>
                <w:sz w:val="20"/>
              </w:rPr>
              <w:t>Weeks, not quarters. And no capital write-off.</w:t>
            </w:r>
          </w:p>
        </w:tc>
      </w:tr>
      <w:tr>
        <w:tc>
          <w:tcPr>
            <w:tcW w:type="dxa" w:w="3312"/>
            <w:shd w:val="clear" w:color="auto" w:fill="EAEEF5"/>
          </w:tcPr>
          <w:p>
            <w:pPr>
              <w:spacing w:before="40" w:after="40"/>
            </w:pPr>
            <w:r/>
            <w:r>
              <w:rPr>
                <w:rFonts w:ascii="Arial" w:hAnsi="Arial"/>
                <w:b/>
                <w:i w:val="0"/>
                <w:color w:val="1F2A44"/>
                <w:sz w:val="20"/>
              </w:rPr>
              <w:t>Headline, social proof</w:t>
            </w:r>
          </w:p>
        </w:tc>
        <w:tc>
          <w:tcPr>
            <w:tcW w:type="dxa" w:w="6624"/>
          </w:tcPr>
          <w:p>
            <w:pPr>
              <w:spacing w:before="40" w:after="40"/>
            </w:pPr>
            <w:r/>
            <w:r>
              <w:rPr>
                <w:rFonts w:ascii="Arial" w:hAnsi="Arial"/>
                <w:b w:val="0"/>
                <w:i w:val="0"/>
                <w:sz w:val="20"/>
              </w:rPr>
              <w:t>Saudi Arabia has run the pilots. This is the part where one reaches production.</w:t>
            </w:r>
          </w:p>
        </w:tc>
      </w:tr>
      <w:tr>
        <w:tc>
          <w:tcPr>
            <w:tcW w:type="dxa" w:w="3312"/>
            <w:shd w:val="clear" w:color="auto" w:fill="EAEEF5"/>
          </w:tcPr>
          <w:p>
            <w:pPr>
              <w:spacing w:before="40" w:after="40"/>
            </w:pPr>
            <w:r/>
            <w:r>
              <w:rPr>
                <w:rFonts w:ascii="Arial" w:hAnsi="Arial"/>
                <w:b/>
                <w:i w:val="0"/>
                <w:color w:val="1F2A44"/>
                <w:sz w:val="20"/>
              </w:rPr>
              <w:t>Headline, Arabic</w:t>
            </w:r>
          </w:p>
          <w:p>
            <w:pPr>
              <w:spacing w:before="0" w:after="40"/>
            </w:pPr>
            <w:r>
              <w:rPr>
                <w:rFonts w:ascii="Arial" w:hAnsi="Arial"/>
                <w:b/>
                <w:i w:val="0"/>
                <w:color w:val="1F2A44"/>
                <w:sz w:val="20"/>
              </w:rPr>
              <w:t>Primary in Arabic-first channels.</w:t>
            </w:r>
          </w:p>
        </w:tc>
        <w:tc>
          <w:tcPr>
            <w:tcW w:type="dxa" w:w="6624"/>
          </w:tcPr>
          <w:p>
            <w:pPr>
              <w:spacing w:before="40" w:after="40"/>
            </w:pPr>
            <w:r/>
            <w:r>
              <w:rPr>
                <w:rFonts w:ascii="Arial" w:hAnsi="Arial"/>
                <w:b w:val="0"/>
                <w:i w:val="0"/>
                <w:sz w:val="20"/>
              </w:rPr>
              <w:t>من ستة إلى ثمانية أسابيع حتى أول مجموعة تشغيل، ثم تتوالى القدرات</w:t>
            </w:r>
          </w:p>
        </w:tc>
      </w:tr>
      <w:tr>
        <w:tc>
          <w:tcPr>
            <w:tcW w:type="dxa" w:w="3312"/>
            <w:shd w:val="clear" w:color="auto" w:fill="EAEEF5"/>
          </w:tcPr>
          <w:p>
            <w:pPr>
              <w:spacing w:before="40" w:after="40"/>
            </w:pPr>
            <w:r/>
            <w:r>
              <w:rPr>
                <w:rFonts w:ascii="Arial" w:hAnsi="Arial"/>
                <w:b/>
                <w:i w:val="0"/>
                <w:color w:val="1F2A44"/>
                <w:sz w:val="20"/>
              </w:rPr>
              <w:t>Tier 2 Copy</w:t>
            </w:r>
          </w:p>
          <w:p>
            <w:pPr>
              <w:spacing w:before="0" w:after="40"/>
            </w:pPr>
            <w:r>
              <w:rPr>
                <w:rFonts w:ascii="Arial" w:hAnsi="Arial"/>
                <w:b/>
                <w:i w:val="0"/>
                <w:color w:val="1F2A44"/>
                <w:sz w:val="20"/>
              </w:rPr>
              <w:t>Longer form, about 25 words.</w:t>
            </w:r>
          </w:p>
        </w:tc>
        <w:tc>
          <w:tcPr>
            <w:tcW w:type="dxa" w:w="6624"/>
          </w:tcPr>
          <w:p>
            <w:pPr>
              <w:spacing w:before="40" w:after="40"/>
            </w:pPr>
            <w:r/>
            <w:r>
              <w:rPr>
                <w:rFonts w:ascii="Arial" w:hAnsi="Arial"/>
                <w:b w:val="0"/>
                <w:i w:val="0"/>
                <w:sz w:val="20"/>
              </w:rPr>
              <w:t>Scoping in one to two weeks, build in three to six, a pilot cohort before the company rollout. You own the infrastructure and the deployment throughout.</w:t>
            </w:r>
          </w:p>
        </w:tc>
      </w:tr>
      <w:tr>
        <w:tc>
          <w:tcPr>
            <w:tcW w:type="dxa" w:w="3312"/>
            <w:shd w:val="clear" w:color="auto" w:fill="EAEEF5"/>
          </w:tcPr>
          <w:p>
            <w:pPr>
              <w:spacing w:before="40" w:after="40"/>
            </w:pPr>
            <w:r/>
            <w:r>
              <w:rPr>
                <w:rFonts w:ascii="Arial" w:hAnsi="Arial"/>
                <w:b/>
                <w:i w:val="0"/>
                <w:color w:val="1F2A44"/>
                <w:sz w:val="20"/>
              </w:rPr>
              <w:t>Tier 3 Copy</w:t>
            </w:r>
          </w:p>
          <w:p>
            <w:pPr>
              <w:spacing w:before="0" w:after="40"/>
            </w:pPr>
            <w:r>
              <w:rPr>
                <w:rFonts w:ascii="Arial" w:hAnsi="Arial"/>
                <w:b/>
                <w:i w:val="0"/>
                <w:color w:val="1F2A44"/>
                <w:sz w:val="20"/>
              </w:rPr>
              <w:t>Longest form, 50+ words.</w:t>
            </w:r>
          </w:p>
        </w:tc>
        <w:tc>
          <w:tcPr>
            <w:tcW w:type="dxa" w:w="6624"/>
          </w:tcPr>
          <w:p>
            <w:pPr>
              <w:spacing w:before="40" w:after="40"/>
            </w:pPr>
            <w:r/>
            <w:r>
              <w:rPr>
                <w:rFonts w:ascii="Arial" w:hAnsi="Arial"/>
                <w:b w:val="0"/>
                <w:i w:val="0"/>
                <w:sz w:val="20"/>
              </w:rPr>
              <w:t>Your integrator sells the first use case, then quotes the second, and by year three you are maintaining a bespoke platform with people who have moved to another account. New agent capabilities ship inside the quarter under your allowance, which is the difference between a product and a project. Seventy-one percent of Saudi respondents have participated in an AI pilot that delivered value, above the global average, yet the Kingdom's stated strategic shift for 2026 is explicitly from pilots to scale. GATED: this copy must not ship in writing until the capability allowance is agreed and contractually bounded. As written it is the most attractive sentence in this framework and the least defensible.</w:t>
            </w:r>
          </w:p>
        </w:tc>
      </w:tr>
    </w:tbl>
    <w:p>
      <w:pPr>
        <w:spacing w:before="0" w:after="80"/>
      </w:pPr>
      <w:r>
        <w:rPr>
          <w:rFonts w:ascii="Arial" w:hAnsi="Arial"/>
          <w:b w:val="0"/>
          <w:i w:val="0"/>
          <w:sz w:val="8"/>
        </w:rPr>
      </w:r>
    </w:p>
    <w:p>
      <w:pPr>
        <w:spacing w:before="320" w:after="80"/>
      </w:pPr>
      <w:r>
        <w:rPr>
          <w:rFonts w:ascii="Arial" w:hAnsi="Arial"/>
          <w:b/>
          <w:i w:val="0"/>
          <w:color w:val="1F2A44"/>
          <w:sz w:val="30"/>
        </w:rPr>
        <w:t>Before This Copy Ships</w:t>
      </w:r>
    </w:p>
    <w:p>
      <w:pPr>
        <w:spacing w:before="0" w:after="160"/>
      </w:pPr>
      <w:r>
        <w:rPr>
          <w:rFonts w:ascii="Arial" w:hAnsi="Arial"/>
          <w:b w:val="0"/>
          <w:i/>
          <w:color w:val="666666"/>
          <w:sz w:val="17"/>
        </w:rPr>
        <w:t>Five claims this framework asserts that the source material does not yet fully confirm, or that depend on a commercial decision that has not been made. Confirm or soften before any external use.</w:t>
      </w:r>
    </w:p>
    <w:tbl>
      <w:tblPr>
        <w:tblStyle w:val="TableGrid"/>
        <w:tblW w:type="auto" w:w="0"/>
        <w:tblLook w:firstColumn="1" w:firstRow="1" w:lastColumn="0" w:lastRow="0" w:noHBand="0" w:noVBand="1" w:val="04A0"/>
      </w:tblPr>
      <w:tblGrid>
        <w:gridCol w:w="3312"/>
        <w:gridCol w:w="3312"/>
        <w:gridCol w:w="3312"/>
      </w:tblGrid>
      <w:tr>
        <w:tc>
          <w:tcPr>
            <w:tcW w:type="dxa" w:w="3168"/>
            <w:shd w:val="clear" w:color="auto" w:fill="1F2A44"/>
          </w:tcPr>
          <w:p>
            <w:pPr>
              <w:spacing w:before="40" w:after="40"/>
            </w:pPr>
            <w:r/>
            <w:r>
              <w:rPr>
                <w:rFonts w:ascii="Arial" w:hAnsi="Arial"/>
                <w:b/>
                <w:i w:val="0"/>
                <w:color w:val="FFFFFF"/>
                <w:sz w:val="20"/>
              </w:rPr>
              <w:t>Claim</w:t>
            </w:r>
          </w:p>
        </w:tc>
        <w:tc>
          <w:tcPr>
            <w:tcW w:type="dxa" w:w="1296"/>
            <w:shd w:val="clear" w:color="auto" w:fill="1F2A44"/>
          </w:tcPr>
          <w:p>
            <w:pPr>
              <w:spacing w:before="40" w:after="40"/>
            </w:pPr>
            <w:r/>
            <w:r>
              <w:rPr>
                <w:rFonts w:ascii="Arial" w:hAnsi="Arial"/>
                <w:b/>
                <w:i w:val="0"/>
                <w:color w:val="FFFFFF"/>
                <w:sz w:val="20"/>
              </w:rPr>
              <w:t>Where</w:t>
            </w:r>
          </w:p>
        </w:tc>
        <w:tc>
          <w:tcPr>
            <w:tcW w:type="dxa" w:w="5472"/>
            <w:shd w:val="clear" w:color="auto" w:fill="1F2A44"/>
          </w:tcPr>
          <w:p>
            <w:pPr>
              <w:spacing w:before="40" w:after="40"/>
            </w:pPr>
            <w:r/>
            <w:r>
              <w:rPr>
                <w:rFonts w:ascii="Arial" w:hAnsi="Arial"/>
                <w:b/>
                <w:i w:val="0"/>
                <w:color w:val="FFFFFF"/>
                <w:sz w:val="20"/>
              </w:rPr>
              <w:t>Status</w:t>
            </w:r>
          </w:p>
        </w:tc>
      </w:tr>
      <w:tr>
        <w:tc>
          <w:tcPr>
            <w:tcW w:type="dxa" w:w="3168"/>
            <w:shd w:val="clear" w:color="auto" w:fill="EAEEF5"/>
          </w:tcPr>
          <w:p>
            <w:pPr>
              <w:spacing w:before="40" w:after="40"/>
            </w:pPr>
            <w:r/>
            <w:r>
              <w:rPr>
                <w:rFonts w:ascii="Arial" w:hAnsi="Arial"/>
                <w:b/>
                <w:i w:val="0"/>
                <w:color w:val="1F2A44"/>
                <w:sz w:val="20"/>
              </w:rPr>
              <w:t>New agent capabilities ship inside the quarter without a new invoice</w:t>
            </w:r>
          </w:p>
        </w:tc>
        <w:tc>
          <w:tcPr>
            <w:tcW w:type="dxa" w:w="1296"/>
          </w:tcPr>
          <w:p>
            <w:pPr>
              <w:spacing w:before="40" w:after="40"/>
            </w:pPr>
            <w:r/>
            <w:r>
              <w:rPr>
                <w:rFonts w:ascii="Arial" w:hAnsi="Arial"/>
                <w:b w:val="0"/>
                <w:i w:val="0"/>
                <w:sz w:val="20"/>
              </w:rPr>
              <w:t>RTB 3.3</w:t>
            </w:r>
          </w:p>
        </w:tc>
        <w:tc>
          <w:tcPr>
            <w:tcW w:type="dxa" w:w="5472"/>
          </w:tcPr>
          <w:p>
            <w:pPr>
              <w:spacing w:before="40" w:after="40"/>
            </w:pPr>
            <w:r/>
            <w:r>
              <w:rPr>
                <w:rFonts w:ascii="Arial" w:hAnsi="Arial"/>
                <w:b w:val="0"/>
                <w:i w:val="0"/>
                <w:sz w:val="20"/>
              </w:rPr>
              <w:t>BLOCKED. The Service and Offer Matrix rates ongoing capability development as a free door opener while committing unbounded senior engineering time against a fixed recurring price. The capability allowance that bounds it, two scoped capabilities per quarter with a five-day effort ceiling, is proposed but not yet agreed or contracted. Do not put this sentence in a proposal until it is.</w:t>
            </w:r>
          </w:p>
        </w:tc>
      </w:tr>
      <w:tr>
        <w:tc>
          <w:tcPr>
            <w:tcW w:type="dxa" w:w="3168"/>
            <w:shd w:val="clear" w:color="auto" w:fill="EAEEF5"/>
          </w:tcPr>
          <w:p>
            <w:pPr>
              <w:spacing w:before="40" w:after="40"/>
            </w:pPr>
            <w:r/>
            <w:r>
              <w:rPr>
                <w:rFonts w:ascii="Arial" w:hAnsi="Arial"/>
                <w:b/>
                <w:i w:val="0"/>
                <w:color w:val="1F2A44"/>
                <w:sz w:val="20"/>
              </w:rPr>
              <w:t>Landed cost of SAR 124 to 184 per employee per month</w:t>
            </w:r>
          </w:p>
        </w:tc>
        <w:tc>
          <w:tcPr>
            <w:tcW w:type="dxa" w:w="1296"/>
          </w:tcPr>
          <w:p>
            <w:pPr>
              <w:spacing w:before="40" w:after="40"/>
            </w:pPr>
            <w:r/>
            <w:r>
              <w:rPr>
                <w:rFonts w:ascii="Arial" w:hAnsi="Arial"/>
                <w:b w:val="0"/>
                <w:i w:val="0"/>
                <w:sz w:val="20"/>
              </w:rPr>
              <w:t>RTB 2.3</w:t>
            </w:r>
          </w:p>
        </w:tc>
        <w:tc>
          <w:tcPr>
            <w:tcW w:type="dxa" w:w="5472"/>
          </w:tcPr>
          <w:p>
            <w:pPr>
              <w:spacing w:before="40" w:after="40"/>
            </w:pPr>
            <w:r/>
            <w:r>
              <w:rPr>
                <w:rFonts w:ascii="Arial" w:hAnsi="Arial"/>
                <w:b w:val="0"/>
                <w:i w:val="0"/>
                <w:sz w:val="20"/>
              </w:rPr>
              <w:t>CONFIRMED for the Wolffish lines, MODELLED for the customer's own infrastructure. The pricing document states that infrastructure cost is modelled and will be replaced with measured numbers from the customer's pilot before contract. Say so when quoting it.</w:t>
            </w:r>
          </w:p>
        </w:tc>
      </w:tr>
      <w:tr>
        <w:tc>
          <w:tcPr>
            <w:tcW w:type="dxa" w:w="3168"/>
            <w:shd w:val="clear" w:color="auto" w:fill="EAEEF5"/>
          </w:tcPr>
          <w:p>
            <w:pPr>
              <w:spacing w:before="40" w:after="40"/>
            </w:pPr>
            <w:r/>
            <w:r>
              <w:rPr>
                <w:rFonts w:ascii="Arial" w:hAnsi="Arial"/>
                <w:b/>
                <w:i w:val="0"/>
                <w:color w:val="1F2A44"/>
                <w:sz w:val="20"/>
              </w:rPr>
              <w:t>Competitor cost comparisons at 300 seats</w:t>
            </w:r>
          </w:p>
        </w:tc>
        <w:tc>
          <w:tcPr>
            <w:tcW w:type="dxa" w:w="1296"/>
          </w:tcPr>
          <w:p>
            <w:pPr>
              <w:spacing w:before="40" w:after="40"/>
            </w:pPr>
            <w:r/>
            <w:r>
              <w:rPr>
                <w:rFonts w:ascii="Arial" w:hAnsi="Arial"/>
                <w:b w:val="0"/>
                <w:i w:val="0"/>
                <w:sz w:val="20"/>
              </w:rPr>
              <w:t>RTB 2.3</w:t>
            </w:r>
          </w:p>
        </w:tc>
        <w:tc>
          <w:tcPr>
            <w:tcW w:type="dxa" w:w="5472"/>
          </w:tcPr>
          <w:p>
            <w:pPr>
              <w:spacing w:before="40" w:after="40"/>
            </w:pPr>
            <w:r/>
            <w:r>
              <w:rPr>
                <w:rFonts w:ascii="Arial" w:hAnsi="Arial"/>
                <w:b w:val="0"/>
                <w:i w:val="0"/>
                <w:sz w:val="20"/>
              </w:rPr>
              <w:t>MODELLED throughout, from published rates, reported volume bands and independent analyses, converted at the SAR 3.75 peg. Vendor seat prices are negotiated and move with volume and term. The Wolffish figures are the only fixed numbers in the comparison, and the estimate caveat should travel with the table.</w:t>
            </w:r>
          </w:p>
        </w:tc>
      </w:tr>
      <w:tr>
        <w:tc>
          <w:tcPr>
            <w:tcW w:type="dxa" w:w="3168"/>
            <w:shd w:val="clear" w:color="auto" w:fill="EAEEF5"/>
          </w:tcPr>
          <w:p>
            <w:pPr>
              <w:spacing w:before="40" w:after="40"/>
            </w:pPr>
            <w:r/>
            <w:r>
              <w:rPr>
                <w:rFonts w:ascii="Arial" w:hAnsi="Arial"/>
                <w:b/>
                <w:i w:val="0"/>
                <w:color w:val="1F2A44"/>
                <w:sz w:val="20"/>
              </w:rPr>
              <w:t>Arabic-first interface, prompting, output and document handling with Hijri dates</w:t>
            </w:r>
          </w:p>
        </w:tc>
        <w:tc>
          <w:tcPr>
            <w:tcW w:type="dxa" w:w="1296"/>
          </w:tcPr>
          <w:p>
            <w:pPr>
              <w:spacing w:before="40" w:after="40"/>
            </w:pPr>
            <w:r/>
            <w:r>
              <w:rPr>
                <w:rFonts w:ascii="Arial" w:hAnsi="Arial"/>
                <w:b w:val="0"/>
                <w:i w:val="0"/>
                <w:sz w:val="20"/>
              </w:rPr>
              <w:t>RTB 3.2</w:t>
            </w:r>
          </w:p>
        </w:tc>
        <w:tc>
          <w:tcPr>
            <w:tcW w:type="dxa" w:w="5472"/>
          </w:tcPr>
          <w:p>
            <w:pPr>
              <w:spacing w:before="40" w:after="40"/>
            </w:pPr>
            <w:r/>
            <w:r>
              <w:rPr>
                <w:rFonts w:ascii="Arial" w:hAnsi="Arial"/>
                <w:b w:val="0"/>
                <w:i w:val="0"/>
                <w:sz w:val="20"/>
              </w:rPr>
              <w:t>Confirm the current state of each element before external use. 'Arabic-first' is a strong claim in a market where buyers will test it in the first meeting, and a partial implementation described as complete is worse than a partial implementation described accurately.</w:t>
            </w:r>
          </w:p>
        </w:tc>
      </w:tr>
      <w:tr>
        <w:tc>
          <w:tcPr>
            <w:tcW w:type="dxa" w:w="3168"/>
            <w:shd w:val="clear" w:color="auto" w:fill="EAEEF5"/>
          </w:tcPr>
          <w:p>
            <w:pPr>
              <w:spacing w:before="40" w:after="40"/>
            </w:pPr>
            <w:r/>
            <w:r>
              <w:rPr>
                <w:rFonts w:ascii="Arial" w:hAnsi="Arial"/>
                <w:b/>
                <w:i w:val="0"/>
                <w:color w:val="1F2A44"/>
                <w:sz w:val="20"/>
              </w:rPr>
              <w:t>Deployment in six to eight weeks</w:t>
            </w:r>
          </w:p>
        </w:tc>
        <w:tc>
          <w:tcPr>
            <w:tcW w:type="dxa" w:w="1296"/>
          </w:tcPr>
          <w:p>
            <w:pPr>
              <w:spacing w:before="40" w:after="40"/>
            </w:pPr>
            <w:r/>
            <w:r>
              <w:rPr>
                <w:rFonts w:ascii="Arial" w:hAnsi="Arial"/>
                <w:b w:val="0"/>
                <w:i w:val="0"/>
                <w:sz w:val="20"/>
              </w:rPr>
              <w:t>RTB 3.3</w:t>
            </w:r>
          </w:p>
        </w:tc>
        <w:tc>
          <w:tcPr>
            <w:tcW w:type="dxa" w:w="5472"/>
          </w:tcPr>
          <w:p>
            <w:pPr>
              <w:spacing w:before="40" w:after="40"/>
            </w:pPr>
            <w:r/>
            <w:r>
              <w:rPr>
                <w:rFonts w:ascii="Arial" w:hAnsi="Arial"/>
                <w:b w:val="0"/>
                <w:i w:val="0"/>
                <w:sz w:val="20"/>
              </w:rPr>
              <w:t>Deliverable for a Standard deployment with up to three integrations into a clean identity estate. Not deliverable for a Complex deployment across multiple legal entities with non-standard identity or a SAMA approval attached, which is ten to fourteen weeks. The deployment scope ladder exists to make that distinction before the promise is made rather than after.</w:t>
            </w:r>
          </w:p>
        </w:tc>
      </w:tr>
    </w:tbl>
    <w:p>
      <w:pPr>
        <w:spacing w:before="320" w:after="80"/>
      </w:pPr>
      <w:r>
        <w:rPr>
          <w:rFonts w:ascii="Arial" w:hAnsi="Arial"/>
          <w:b/>
          <w:i w:val="0"/>
          <w:color w:val="1F2A44"/>
          <w:sz w:val="30"/>
        </w:rPr>
        <w:t>Copy Usage Rules for the Kingdom</w:t>
      </w:r>
    </w:p>
    <w:p>
      <w:pPr>
        <w:pStyle w:val="ListNumber"/>
        <w:spacing w:after="80"/>
      </w:pPr>
      <w:r/>
      <w:r>
        <w:rPr>
          <w:rFonts w:ascii="Arial" w:hAnsi="Arial"/>
          <w:sz w:val="20"/>
        </w:rPr>
        <w:t>Never lead with pillar 2 to a CISO, or pillar 1 to a CFO. Right message, wrong chair, and it reads as not having understood who you are talking to.</w:t>
      </w:r>
    </w:p>
    <w:p>
      <w:pPr>
        <w:pStyle w:val="ListNumber"/>
        <w:spacing w:after="80"/>
      </w:pPr>
      <w:r/>
      <w:r>
        <w:rPr>
          <w:rFonts w:ascii="Arial" w:hAnsi="Arial"/>
          <w:sz w:val="20"/>
        </w:rPr>
        <w:t>The Arabic is primary in Arabic-first channels. A translated English headline reads as translated and undermines the Arabic-first claim in the same breath as making it.</w:t>
      </w:r>
    </w:p>
    <w:p>
      <w:pPr>
        <w:pStyle w:val="ListNumber"/>
        <w:spacing w:after="80"/>
      </w:pPr>
      <w:r/>
      <w:r>
        <w:rPr>
          <w:rFonts w:ascii="Arial" w:hAnsi="Arial"/>
          <w:sz w:val="20"/>
        </w:rPr>
        <w:t>Never shorten a pillar 2 claim to SAR 79 against a competitor seat price. It is the fastest way to lose a CFO, and it is a comparison a competent one will catch in the first meeting.</w:t>
      </w:r>
    </w:p>
    <w:p>
      <w:pPr>
        <w:pStyle w:val="ListNumber"/>
        <w:spacing w:after="80"/>
      </w:pPr>
      <w:r/>
      <w:r>
        <w:rPr>
          <w:rFonts w:ascii="Arial" w:hAnsi="Arial"/>
          <w:sz w:val="20"/>
        </w:rPr>
        <w:t>Never use RTB 3.3 in writing until the capability allowance exists and is contracted.</w:t>
      </w:r>
    </w:p>
    <w:p>
      <w:pPr>
        <w:pStyle w:val="ListNumber"/>
        <w:spacing w:after="80"/>
      </w:pPr>
      <w:r/>
      <w:r>
        <w:rPr>
          <w:rFonts w:ascii="Arial" w:hAnsi="Arial"/>
          <w:sz w:val="20"/>
        </w:rPr>
        <w:t>Do not use superlatives about sovereignty. HUMAIN owns that vector at 9.8 to Wolffish's 6.8, and the gap cannot be closed, only made irrelevant. Every Wolffish claim about data is architectural and specific, never patriotic.</w:t>
      </w:r>
    </w:p>
    <w:p>
      <w:pPr>
        <w:pStyle w:val="ListNumber"/>
        <w:spacing w:after="80"/>
      </w:pPr>
      <w:r/>
      <w:r>
        <w:rPr>
          <w:rFonts w:ascii="Arial" w:hAnsi="Arial"/>
          <w:sz w:val="20"/>
        </w:rPr>
        <w:t>Cite the source when quoting a number. Saudi enterprise buyers check, and a checked number that holds is worth more than three unchecked ones.</w:t>
      </w:r>
    </w:p>
    <w:p>
      <w:pPr>
        <w:pStyle w:val="ListNumber"/>
        <w:spacing w:after="80"/>
      </w:pPr>
      <w:r/>
      <w:r>
        <w:rPr>
          <w:rFonts w:ascii="Arial" w:hAnsi="Arial"/>
          <w:sz w:val="20"/>
        </w:rPr>
        <w:t>Every asset ships bilingual or it does not ship. An English-only leave-behind in a room where the CFO prefers Arabic is a self-inflicted disadvantage.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