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1400"/>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85800"/>
                    </a:xfrm>
                    <a:prstGeom prst="rect">
                      <a:avLst/>
                    </a:prstGeom>
                  </pic:spPr>
                </pic:pic>
              </a:graphicData>
            </a:graphic>
          </wp:inline>
        </w:drawing>
      </w:r>
    </w:p>
    <w:p>
      <w:pPr>
        <w:spacing w:after="400"/>
        <w:jc w:val="center"/>
      </w:pPr>
      <w:r>
        <w:rPr>
          <w:rFonts w:ascii="IBM Plex Sans" w:cs="IBM Plex Sans" w:eastAsia="IBM Plex Sans" w:hAnsi="IBM Plex Sans"/>
          <w:b w:val="false"/>
          <w:bCs w:val="false"/>
          <w:caps/>
          <w:color w:val="6B6B6B"/>
          <w:spacing w:val="20"/>
          <w:sz w:val="24"/>
          <w:szCs w:val="24"/>
        </w:rPr>
        <w:t xml:space="preserve">Website &amp; Digital Product Development</w:t>
      </w:r>
    </w:p>
    <w:p>
      <w:pPr>
        <w:spacing w:after="60"/>
        <w:jc w:val="center"/>
      </w:pPr>
      <w:r>
        <w:rPr>
          <w:rFonts w:ascii="IBM Plex Sans" w:cs="IBM Plex Sans" w:eastAsia="IBM Plex Sans" w:hAnsi="IBM Plex Sans"/>
          <w:b/>
          <w:bCs/>
          <w:color w:val="1A1A1A"/>
          <w:spacing w:val="10"/>
          <w:sz w:val="52"/>
          <w:szCs w:val="52"/>
        </w:rPr>
        <w:t xml:space="preserve">TERMS OF SERVICE</w:t>
      </w:r>
    </w:p>
    <w:p>
      <w:pPr>
        <w:spacing w:after="40"/>
        <w:jc w:val="center"/>
      </w:pPr>
      <w:r>
        <w:rPr>
          <w:rFonts w:ascii="IBM Plex Sans" w:cs="IBM Plex Sans" w:eastAsia="IBM Plex Sans" w:hAnsi="IBM Plex Sans"/>
          <w:b/>
          <w:bCs/>
          <w:color w:val="6D3FC0"/>
          <w:spacing w:val="20"/>
          <w:sz w:val="30"/>
          <w:szCs w:val="30"/>
        </w:rPr>
        <w:t xml:space="preserve">COMMERCIAL POLICY</w:t>
      </w:r>
    </w:p>
    <w:p>
      <w:pPr>
        <w:spacing w:after="600"/>
        <w:jc w:val="center"/>
      </w:pPr>
      <w:r>
        <w:rPr>
          <w:rFonts w:ascii="IBM Plex Sans" w:cs="IBM Plex Sans" w:eastAsia="IBM Plex Sans" w:hAnsi="IBM Plex Sans"/>
          <w:b/>
          <w:bCs/>
          <w:color w:val="6D3FC0"/>
          <w:spacing w:val="12"/>
          <w:sz w:val="30"/>
          <w:szCs w:val="30"/>
        </w:rPr>
        <w:t xml:space="preserve">PRIVACY &amp; CONFIDENTIALITY AGREEMENT</w:t>
      </w:r>
    </w:p>
    <w:p>
      <w:pPr>
        <w:pBdr>
          <w:bottom w:val="single" w:color="6D3FC0" w:sz="8" w:space="1"/>
        </w:pBdr>
        <w:spacing w:after="500"/>
        <w:jc w:val="center"/>
      </w:pPr>
      <w:r>
        <w:t xml:space="preserve"/>
      </w:r>
    </w:p>
    <w:p>
      <w:pPr>
        <w:spacing w:after="40" w:before="500"/>
        <w:jc w:val="center"/>
      </w:pPr>
      <w:r>
        <w:rPr>
          <w:rFonts w:ascii="IBM Plex Sans" w:cs="IBM Plex Sans" w:eastAsia="IBM Plex Sans" w:hAnsi="IBM Plex Sans"/>
          <w:color w:val="6B6B6B"/>
          <w:sz w:val="20"/>
          <w:szCs w:val="20"/>
        </w:rPr>
        <w:t xml:space="preserve">Version 1.0</w:t>
      </w:r>
    </w:p>
    <w:p>
      <w:pPr>
        <w:spacing w:after="40"/>
        <w:jc w:val="center"/>
      </w:pPr>
      <w:r>
        <w:rPr>
          <w:rFonts w:ascii="IBM Plex Sans" w:cs="IBM Plex Sans" w:eastAsia="IBM Plex Sans" w:hAnsi="IBM Plex Sans"/>
          <w:i/>
          <w:iCs/>
          <w:color w:val="6B6B6B"/>
          <w:sz w:val="18"/>
          <w:szCs w:val="18"/>
        </w:rPr>
        <w:t xml:space="preserve">Effective for all engagements unless otherwise agreed in writing</w:t>
      </w:r>
    </w:p>
    <w:p>
      <w:pPr>
        <w:spacing w:before="800"/>
        <w:jc w:val="center"/>
      </w:pPr>
      <w:r>
        <w:rPr>
          <w:rFonts w:ascii="IBM Plex Sans" w:cs="IBM Plex Sans" w:eastAsia="IBM Plex Sans" w:hAnsi="IBM Plex Sans"/>
          <w:color w:val="6B6B6B"/>
          <w:spacing w:val="30"/>
          <w:sz w:val="16"/>
          <w:szCs w:val="16"/>
        </w:rPr>
        <w:t xml:space="preserve">CONFIDENTIAL</w:t>
      </w:r>
    </w:p>
    <w:p>
      <w:r>
        <w:br w:type="page"/>
      </w:r>
    </w:p>
    <w:p>
      <w:pPr>
        <w:sectPr>
          <w:pgSz w:w="11906" w:h="16838" w:orient="portrait"/>
          <w:pgMar w:top="1300" w:right="1300" w:bottom="1200" w:left="1300" w:header="708" w:footer="708" w:gutter="0"/>
          <w:pgNumType/>
          <w:docGrid w:linePitch="360"/>
        </w:sectPr>
      </w:pPr>
    </w:p>
    <w:p>
      <w:pPr>
        <w:spacing w:after="320"/>
      </w:pPr>
      <w:r>
        <w:rPr>
          <w:rFonts w:ascii="IBM Plex Sans" w:cs="IBM Plex Sans" w:eastAsia="IBM Plex Sans" w:hAnsi="IBM Plex Sans"/>
          <w:b/>
          <w:bCs/>
          <w:color w:val="1A1A1A"/>
          <w:sz w:val="30"/>
          <w:szCs w:val="30"/>
        </w:rPr>
        <w:t xml:space="preserve">Table of Contents</w:t>
      </w:r>
    </w:p>
    <w:p>
      <w:pPr>
        <w:tabs>
          <w:tab w:val="right" w:pos="9026" w:leader="dot"/>
        </w:tabs>
        <w:spacing w:after="150"/>
      </w:pPr>
      <w:r>
        <w:rPr>
          <w:rFonts w:ascii="IBM Plex Sans" w:cs="IBM Plex Sans" w:eastAsia="IBM Plex Sans" w:hAnsi="IBM Plex Sans"/>
          <w:b/>
          <w:bCs/>
          <w:color w:val="6D3FC0"/>
          <w:sz w:val="21"/>
          <w:szCs w:val="21"/>
        </w:rPr>
        <w:t xml:space="preserve">1.  </w:t>
      </w:r>
      <w:r>
        <w:rPr>
          <w:rFonts w:ascii="IBM Plex Sans" w:cs="IBM Plex Sans" w:eastAsia="IBM Plex Sans" w:hAnsi="IBM Plex Sans"/>
          <w:color w:val="1A1A1A"/>
          <w:sz w:val="21"/>
          <w:szCs w:val="21"/>
        </w:rPr>
        <w:t xml:space="preserve">Introduction</w:t>
      </w:r>
      <w:r>
        <w:rPr>
          <w:rFonts w:ascii="IBM Plex Sans" w:cs="IBM Plex Sans" w:eastAsia="IBM Plex Sans" w:hAnsi="IBM Plex Sans"/>
          <w:color w:val="6B6B6B"/>
          <w:sz w:val="21"/>
          <w:szCs w:val="21"/>
        </w:rPr>
        <w:t xml:space="preserve">	3</w:t>
      </w:r>
    </w:p>
    <w:p>
      <w:pPr>
        <w:tabs>
          <w:tab w:val="right" w:pos="9026" w:leader="dot"/>
        </w:tabs>
        <w:spacing w:after="150"/>
      </w:pPr>
      <w:r>
        <w:rPr>
          <w:rFonts w:ascii="IBM Plex Sans" w:cs="IBM Plex Sans" w:eastAsia="IBM Plex Sans" w:hAnsi="IBM Plex Sans"/>
          <w:b/>
          <w:bCs/>
          <w:color w:val="6D3FC0"/>
          <w:sz w:val="21"/>
          <w:szCs w:val="21"/>
        </w:rPr>
        <w:t xml:space="preserve">2.  </w:t>
      </w:r>
      <w:r>
        <w:rPr>
          <w:rFonts w:ascii="IBM Plex Sans" w:cs="IBM Plex Sans" w:eastAsia="IBM Plex Sans" w:hAnsi="IBM Plex Sans"/>
          <w:color w:val="1A1A1A"/>
          <w:sz w:val="21"/>
          <w:szCs w:val="21"/>
        </w:rPr>
        <w:t xml:space="preserve">Our Services</w:t>
      </w:r>
      <w:r>
        <w:rPr>
          <w:rFonts w:ascii="IBM Plex Sans" w:cs="IBM Plex Sans" w:eastAsia="IBM Plex Sans" w:hAnsi="IBM Plex Sans"/>
          <w:color w:val="6B6B6B"/>
          <w:sz w:val="21"/>
          <w:szCs w:val="21"/>
        </w:rPr>
        <w:t xml:space="preserve">	3</w:t>
      </w:r>
    </w:p>
    <w:p>
      <w:pPr>
        <w:tabs>
          <w:tab w:val="right" w:pos="9026" w:leader="dot"/>
        </w:tabs>
        <w:spacing w:after="150"/>
      </w:pPr>
      <w:r>
        <w:rPr>
          <w:rFonts w:ascii="IBM Plex Sans" w:cs="IBM Plex Sans" w:eastAsia="IBM Plex Sans" w:hAnsi="IBM Plex Sans"/>
          <w:b/>
          <w:bCs/>
          <w:color w:val="6D3FC0"/>
          <w:sz w:val="21"/>
          <w:szCs w:val="21"/>
        </w:rPr>
        <w:t xml:space="preserve">3.  </w:t>
      </w:r>
      <w:r>
        <w:rPr>
          <w:rFonts w:ascii="IBM Plex Sans" w:cs="IBM Plex Sans" w:eastAsia="IBM Plex Sans" w:hAnsi="IBM Plex Sans"/>
          <w:color w:val="1A1A1A"/>
          <w:sz w:val="21"/>
          <w:szCs w:val="21"/>
        </w:rPr>
        <w:t xml:space="preserve">Development Process</w:t>
      </w:r>
      <w:r>
        <w:rPr>
          <w:rFonts w:ascii="IBM Plex Sans" w:cs="IBM Plex Sans" w:eastAsia="IBM Plex Sans" w:hAnsi="IBM Plex Sans"/>
          <w:color w:val="6B6B6B"/>
          <w:sz w:val="21"/>
          <w:szCs w:val="21"/>
        </w:rPr>
        <w:t xml:space="preserve">	3</w:t>
      </w:r>
    </w:p>
    <w:p>
      <w:pPr>
        <w:tabs>
          <w:tab w:val="right" w:pos="9026" w:leader="dot"/>
        </w:tabs>
        <w:spacing w:after="150"/>
      </w:pPr>
      <w:r>
        <w:rPr>
          <w:rFonts w:ascii="IBM Plex Sans" w:cs="IBM Plex Sans" w:eastAsia="IBM Plex Sans" w:hAnsi="IBM Plex Sans"/>
          <w:b/>
          <w:bCs/>
          <w:color w:val="6D3FC0"/>
          <w:sz w:val="21"/>
          <w:szCs w:val="21"/>
        </w:rPr>
        <w:t xml:space="preserve">4.  </w:t>
      </w:r>
      <w:r>
        <w:rPr>
          <w:rFonts w:ascii="IBM Plex Sans" w:cs="IBM Plex Sans" w:eastAsia="IBM Plex Sans" w:hAnsi="IBM Plex Sans"/>
          <w:color w:val="1A1A1A"/>
          <w:sz w:val="21"/>
          <w:szCs w:val="21"/>
        </w:rPr>
        <w:t xml:space="preserve">Commercial Policy</w:t>
      </w:r>
      <w:r>
        <w:rPr>
          <w:rFonts w:ascii="IBM Plex Sans" w:cs="IBM Plex Sans" w:eastAsia="IBM Plex Sans" w:hAnsi="IBM Plex Sans"/>
          <w:color w:val="6B6B6B"/>
          <w:sz w:val="21"/>
          <w:szCs w:val="21"/>
        </w:rPr>
        <w:t xml:space="preserve">	3</w:t>
      </w:r>
    </w:p>
    <w:p>
      <w:pPr>
        <w:tabs>
          <w:tab w:val="right" w:pos="9026" w:leader="dot"/>
        </w:tabs>
        <w:spacing w:after="150"/>
      </w:pPr>
      <w:r>
        <w:rPr>
          <w:rFonts w:ascii="IBM Plex Sans" w:cs="IBM Plex Sans" w:eastAsia="IBM Plex Sans" w:hAnsi="IBM Plex Sans"/>
          <w:b/>
          <w:bCs/>
          <w:color w:val="6D3FC0"/>
          <w:sz w:val="21"/>
          <w:szCs w:val="21"/>
        </w:rPr>
        <w:t xml:space="preserve">5.  </w:t>
      </w:r>
      <w:r>
        <w:rPr>
          <w:rFonts w:ascii="IBM Plex Sans" w:cs="IBM Plex Sans" w:eastAsia="IBM Plex Sans" w:hAnsi="IBM Plex Sans"/>
          <w:color w:val="1A1A1A"/>
          <w:sz w:val="21"/>
          <w:szCs w:val="21"/>
        </w:rPr>
        <w:t xml:space="preserve">Payment Policy</w:t>
      </w:r>
      <w:r>
        <w:rPr>
          <w:rFonts w:ascii="IBM Plex Sans" w:cs="IBM Plex Sans" w:eastAsia="IBM Plex Sans" w:hAnsi="IBM Plex Sans"/>
          <w:color w:val="6B6B6B"/>
          <w:sz w:val="21"/>
          <w:szCs w:val="21"/>
        </w:rPr>
        <w:t xml:space="preserve">	4</w:t>
      </w:r>
    </w:p>
    <w:p>
      <w:pPr>
        <w:tabs>
          <w:tab w:val="right" w:pos="9026" w:leader="dot"/>
        </w:tabs>
        <w:spacing w:after="150"/>
      </w:pPr>
      <w:r>
        <w:rPr>
          <w:rFonts w:ascii="IBM Plex Sans" w:cs="IBM Plex Sans" w:eastAsia="IBM Plex Sans" w:hAnsi="IBM Plex Sans"/>
          <w:b/>
          <w:bCs/>
          <w:color w:val="6D3FC0"/>
          <w:sz w:val="21"/>
          <w:szCs w:val="21"/>
        </w:rPr>
        <w:t xml:space="preserve">6.  </w:t>
      </w:r>
      <w:r>
        <w:rPr>
          <w:rFonts w:ascii="IBM Plex Sans" w:cs="IBM Plex Sans" w:eastAsia="IBM Plex Sans" w:hAnsi="IBM Plex Sans"/>
          <w:color w:val="1A1A1A"/>
          <w:sz w:val="21"/>
          <w:szCs w:val="21"/>
        </w:rPr>
        <w:t xml:space="preserve">Scope of Work</w:t>
      </w:r>
      <w:r>
        <w:rPr>
          <w:rFonts w:ascii="IBM Plex Sans" w:cs="IBM Plex Sans" w:eastAsia="IBM Plex Sans" w:hAnsi="IBM Plex Sans"/>
          <w:color w:val="6B6B6B"/>
          <w:sz w:val="21"/>
          <w:szCs w:val="21"/>
        </w:rPr>
        <w:t xml:space="preserve">	4</w:t>
      </w:r>
    </w:p>
    <w:p>
      <w:pPr>
        <w:tabs>
          <w:tab w:val="right" w:pos="9026" w:leader="dot"/>
        </w:tabs>
        <w:spacing w:after="150"/>
      </w:pPr>
      <w:r>
        <w:rPr>
          <w:rFonts w:ascii="IBM Plex Sans" w:cs="IBM Plex Sans" w:eastAsia="IBM Plex Sans" w:hAnsi="IBM Plex Sans"/>
          <w:b/>
          <w:bCs/>
          <w:color w:val="6D3FC0"/>
          <w:sz w:val="21"/>
          <w:szCs w:val="21"/>
        </w:rPr>
        <w:t xml:space="preserve">7.  </w:t>
      </w:r>
      <w:r>
        <w:rPr>
          <w:rFonts w:ascii="IBM Plex Sans" w:cs="IBM Plex Sans" w:eastAsia="IBM Plex Sans" w:hAnsi="IBM Plex Sans"/>
          <w:color w:val="1A1A1A"/>
          <w:sz w:val="21"/>
          <w:szCs w:val="21"/>
        </w:rPr>
        <w:t xml:space="preserve">Client Responsibilities</w:t>
      </w:r>
      <w:r>
        <w:rPr>
          <w:rFonts w:ascii="IBM Plex Sans" w:cs="IBM Plex Sans" w:eastAsia="IBM Plex Sans" w:hAnsi="IBM Plex Sans"/>
          <w:color w:val="6B6B6B"/>
          <w:sz w:val="21"/>
          <w:szCs w:val="21"/>
        </w:rPr>
        <w:t xml:space="preserve">	4</w:t>
      </w:r>
    </w:p>
    <w:p>
      <w:pPr>
        <w:tabs>
          <w:tab w:val="right" w:pos="9026" w:leader="dot"/>
        </w:tabs>
        <w:spacing w:after="150"/>
      </w:pPr>
      <w:r>
        <w:rPr>
          <w:rFonts w:ascii="IBM Plex Sans" w:cs="IBM Plex Sans" w:eastAsia="IBM Plex Sans" w:hAnsi="IBM Plex Sans"/>
          <w:b/>
          <w:bCs/>
          <w:color w:val="6D3FC0"/>
          <w:sz w:val="21"/>
          <w:szCs w:val="21"/>
        </w:rPr>
        <w:t xml:space="preserve">8.  </w:t>
      </w:r>
      <w:r>
        <w:rPr>
          <w:rFonts w:ascii="IBM Plex Sans" w:cs="IBM Plex Sans" w:eastAsia="IBM Plex Sans" w:hAnsi="IBM Plex Sans"/>
          <w:color w:val="1A1A1A"/>
          <w:sz w:val="21"/>
          <w:szCs w:val="21"/>
        </w:rPr>
        <w:t xml:space="preserve">Our Responsibilities</w:t>
      </w:r>
      <w:r>
        <w:rPr>
          <w:rFonts w:ascii="IBM Plex Sans" w:cs="IBM Plex Sans" w:eastAsia="IBM Plex Sans" w:hAnsi="IBM Plex Sans"/>
          <w:color w:val="6B6B6B"/>
          <w:sz w:val="21"/>
          <w:szCs w:val="21"/>
        </w:rPr>
        <w:t xml:space="preserve">	5</w:t>
      </w:r>
    </w:p>
    <w:p>
      <w:pPr>
        <w:tabs>
          <w:tab w:val="right" w:pos="9026" w:leader="dot"/>
        </w:tabs>
        <w:spacing w:after="150"/>
      </w:pPr>
      <w:r>
        <w:rPr>
          <w:rFonts w:ascii="IBM Plex Sans" w:cs="IBM Plex Sans" w:eastAsia="IBM Plex Sans" w:hAnsi="IBM Plex Sans"/>
          <w:b/>
          <w:bCs/>
          <w:color w:val="6D3FC0"/>
          <w:sz w:val="21"/>
          <w:szCs w:val="21"/>
        </w:rPr>
        <w:t xml:space="preserve">9.  </w:t>
      </w:r>
      <w:r>
        <w:rPr>
          <w:rFonts w:ascii="IBM Plex Sans" w:cs="IBM Plex Sans" w:eastAsia="IBM Plex Sans" w:hAnsi="IBM Plex Sans"/>
          <w:color w:val="1A1A1A"/>
          <w:sz w:val="21"/>
          <w:szCs w:val="21"/>
        </w:rPr>
        <w:t xml:space="preserve">Revision Policy</w:t>
      </w:r>
      <w:r>
        <w:rPr>
          <w:rFonts w:ascii="IBM Plex Sans" w:cs="IBM Plex Sans" w:eastAsia="IBM Plex Sans" w:hAnsi="IBM Plex Sans"/>
          <w:color w:val="6B6B6B"/>
          <w:sz w:val="21"/>
          <w:szCs w:val="21"/>
        </w:rPr>
        <w:t xml:space="preserve">	5</w:t>
      </w:r>
    </w:p>
    <w:p>
      <w:pPr>
        <w:tabs>
          <w:tab w:val="right" w:pos="9026" w:leader="dot"/>
        </w:tabs>
        <w:spacing w:after="150"/>
      </w:pPr>
      <w:r>
        <w:rPr>
          <w:rFonts w:ascii="IBM Plex Sans" w:cs="IBM Plex Sans" w:eastAsia="IBM Plex Sans" w:hAnsi="IBM Plex Sans"/>
          <w:b/>
          <w:bCs/>
          <w:color w:val="6D3FC0"/>
          <w:sz w:val="21"/>
          <w:szCs w:val="21"/>
        </w:rPr>
        <w:t xml:space="preserve">10.  </w:t>
      </w:r>
      <w:r>
        <w:rPr>
          <w:rFonts w:ascii="IBM Plex Sans" w:cs="IBM Plex Sans" w:eastAsia="IBM Plex Sans" w:hAnsi="IBM Plex Sans"/>
          <w:color w:val="1A1A1A"/>
          <w:sz w:val="21"/>
          <w:szCs w:val="21"/>
        </w:rPr>
        <w:t xml:space="preserve">Change Request Policy</w:t>
      </w:r>
      <w:r>
        <w:rPr>
          <w:rFonts w:ascii="IBM Plex Sans" w:cs="IBM Plex Sans" w:eastAsia="IBM Plex Sans" w:hAnsi="IBM Plex Sans"/>
          <w:color w:val="6B6B6B"/>
          <w:sz w:val="21"/>
          <w:szCs w:val="21"/>
        </w:rPr>
        <w:t xml:space="preserve">	5</w:t>
      </w:r>
    </w:p>
    <w:p>
      <w:pPr>
        <w:tabs>
          <w:tab w:val="right" w:pos="9026" w:leader="dot"/>
        </w:tabs>
        <w:spacing w:after="150"/>
      </w:pPr>
      <w:r>
        <w:rPr>
          <w:rFonts w:ascii="IBM Plex Sans" w:cs="IBM Plex Sans" w:eastAsia="IBM Plex Sans" w:hAnsi="IBM Plex Sans"/>
          <w:b/>
          <w:bCs/>
          <w:color w:val="6D3FC0"/>
          <w:sz w:val="21"/>
          <w:szCs w:val="21"/>
        </w:rPr>
        <w:t xml:space="preserve">11.  </w:t>
      </w:r>
      <w:r>
        <w:rPr>
          <w:rFonts w:ascii="IBM Plex Sans" w:cs="IBM Plex Sans" w:eastAsia="IBM Plex Sans" w:hAnsi="IBM Plex Sans"/>
          <w:color w:val="1A1A1A"/>
          <w:sz w:val="21"/>
          <w:szCs w:val="21"/>
        </w:rPr>
        <w:t xml:space="preserve">Domain &amp; Hosting Policy</w:t>
      </w:r>
      <w:r>
        <w:rPr>
          <w:rFonts w:ascii="IBM Plex Sans" w:cs="IBM Plex Sans" w:eastAsia="IBM Plex Sans" w:hAnsi="IBM Plex Sans"/>
          <w:color w:val="6B6B6B"/>
          <w:sz w:val="21"/>
          <w:szCs w:val="21"/>
        </w:rPr>
        <w:t xml:space="preserve">	5</w:t>
      </w:r>
    </w:p>
    <w:p>
      <w:pPr>
        <w:tabs>
          <w:tab w:val="right" w:pos="9026" w:leader="dot"/>
        </w:tabs>
        <w:spacing w:after="150"/>
      </w:pPr>
      <w:r>
        <w:rPr>
          <w:rFonts w:ascii="IBM Plex Sans" w:cs="IBM Plex Sans" w:eastAsia="IBM Plex Sans" w:hAnsi="IBM Plex Sans"/>
          <w:b/>
          <w:bCs/>
          <w:color w:val="6D3FC0"/>
          <w:sz w:val="21"/>
          <w:szCs w:val="21"/>
        </w:rPr>
        <w:t xml:space="preserve">12.  </w:t>
      </w:r>
      <w:r>
        <w:rPr>
          <w:rFonts w:ascii="IBM Plex Sans" w:cs="IBM Plex Sans" w:eastAsia="IBM Plex Sans" w:hAnsi="IBM Plex Sans"/>
          <w:color w:val="1A1A1A"/>
          <w:sz w:val="21"/>
          <w:szCs w:val="21"/>
        </w:rPr>
        <w:t xml:space="preserve">Payment Gateway Policy</w:t>
      </w:r>
      <w:r>
        <w:rPr>
          <w:rFonts w:ascii="IBM Plex Sans" w:cs="IBM Plex Sans" w:eastAsia="IBM Plex Sans" w:hAnsi="IBM Plex Sans"/>
          <w:color w:val="6B6B6B"/>
          <w:sz w:val="21"/>
          <w:szCs w:val="21"/>
        </w:rPr>
        <w:t xml:space="preserve">	6</w:t>
      </w:r>
    </w:p>
    <w:p>
      <w:pPr>
        <w:tabs>
          <w:tab w:val="right" w:pos="9026" w:leader="dot"/>
        </w:tabs>
        <w:spacing w:after="150"/>
      </w:pPr>
      <w:r>
        <w:rPr>
          <w:rFonts w:ascii="IBM Plex Sans" w:cs="IBM Plex Sans" w:eastAsia="IBM Plex Sans" w:hAnsi="IBM Plex Sans"/>
          <w:b/>
          <w:bCs/>
          <w:color w:val="6D3FC0"/>
          <w:sz w:val="21"/>
          <w:szCs w:val="21"/>
        </w:rPr>
        <w:t xml:space="preserve">13.  </w:t>
      </w:r>
      <w:r>
        <w:rPr>
          <w:rFonts w:ascii="IBM Plex Sans" w:cs="IBM Plex Sans" w:eastAsia="IBM Plex Sans" w:hAnsi="IBM Plex Sans"/>
          <w:color w:val="1A1A1A"/>
          <w:sz w:val="21"/>
          <w:szCs w:val="21"/>
        </w:rPr>
        <w:t xml:space="preserve">Third-Party Services</w:t>
      </w:r>
      <w:r>
        <w:rPr>
          <w:rFonts w:ascii="IBM Plex Sans" w:cs="IBM Plex Sans" w:eastAsia="IBM Plex Sans" w:hAnsi="IBM Plex Sans"/>
          <w:color w:val="6B6B6B"/>
          <w:sz w:val="21"/>
          <w:szCs w:val="21"/>
        </w:rPr>
        <w:t xml:space="preserve">	6</w:t>
      </w:r>
    </w:p>
    <w:p>
      <w:pPr>
        <w:tabs>
          <w:tab w:val="right" w:pos="9026" w:leader="dot"/>
        </w:tabs>
        <w:spacing w:after="150"/>
      </w:pPr>
      <w:r>
        <w:rPr>
          <w:rFonts w:ascii="IBM Plex Sans" w:cs="IBM Plex Sans" w:eastAsia="IBM Plex Sans" w:hAnsi="IBM Plex Sans"/>
          <w:b/>
          <w:bCs/>
          <w:color w:val="6D3FC0"/>
          <w:sz w:val="21"/>
          <w:szCs w:val="21"/>
        </w:rPr>
        <w:t xml:space="preserve">14.  </w:t>
      </w:r>
      <w:r>
        <w:rPr>
          <w:rFonts w:ascii="IBM Plex Sans" w:cs="IBM Plex Sans" w:eastAsia="IBM Plex Sans" w:hAnsi="IBM Plex Sans"/>
          <w:color w:val="1A1A1A"/>
          <w:sz w:val="21"/>
          <w:szCs w:val="21"/>
        </w:rPr>
        <w:t xml:space="preserve">Privacy Policy</w:t>
      </w:r>
      <w:r>
        <w:rPr>
          <w:rFonts w:ascii="IBM Plex Sans" w:cs="IBM Plex Sans" w:eastAsia="IBM Plex Sans" w:hAnsi="IBM Plex Sans"/>
          <w:color w:val="6B6B6B"/>
          <w:sz w:val="21"/>
          <w:szCs w:val="21"/>
        </w:rPr>
        <w:t xml:space="preserve">	6</w:t>
      </w:r>
    </w:p>
    <w:p>
      <w:pPr>
        <w:tabs>
          <w:tab w:val="right" w:pos="9026" w:leader="dot"/>
        </w:tabs>
        <w:spacing w:after="150"/>
      </w:pPr>
      <w:r>
        <w:rPr>
          <w:rFonts w:ascii="IBM Plex Sans" w:cs="IBM Plex Sans" w:eastAsia="IBM Plex Sans" w:hAnsi="IBM Plex Sans"/>
          <w:b/>
          <w:bCs/>
          <w:color w:val="6D3FC0"/>
          <w:sz w:val="21"/>
          <w:szCs w:val="21"/>
        </w:rPr>
        <w:t xml:space="preserve">15.  </w:t>
      </w:r>
      <w:r>
        <w:rPr>
          <w:rFonts w:ascii="IBM Plex Sans" w:cs="IBM Plex Sans" w:eastAsia="IBM Plex Sans" w:hAnsi="IBM Plex Sans"/>
          <w:color w:val="1A1A1A"/>
          <w:sz w:val="21"/>
          <w:szCs w:val="21"/>
        </w:rPr>
        <w:t xml:space="preserve">Confidentiality (Non-Disclosure)</w:t>
      </w:r>
      <w:r>
        <w:rPr>
          <w:rFonts w:ascii="IBM Plex Sans" w:cs="IBM Plex Sans" w:eastAsia="IBM Plex Sans" w:hAnsi="IBM Plex Sans"/>
          <w:color w:val="6B6B6B"/>
          <w:sz w:val="21"/>
          <w:szCs w:val="21"/>
        </w:rPr>
        <w:t xml:space="preserve">	6</w:t>
      </w:r>
    </w:p>
    <w:p>
      <w:pPr>
        <w:tabs>
          <w:tab w:val="right" w:pos="9026" w:leader="dot"/>
        </w:tabs>
        <w:spacing w:after="150"/>
      </w:pPr>
      <w:r>
        <w:rPr>
          <w:rFonts w:ascii="IBM Plex Sans" w:cs="IBM Plex Sans" w:eastAsia="IBM Plex Sans" w:hAnsi="IBM Plex Sans"/>
          <w:b/>
          <w:bCs/>
          <w:color w:val="6D3FC0"/>
          <w:sz w:val="21"/>
          <w:szCs w:val="21"/>
        </w:rPr>
        <w:t xml:space="preserve">16.  </w:t>
      </w:r>
      <w:r>
        <w:rPr>
          <w:rFonts w:ascii="IBM Plex Sans" w:cs="IBM Plex Sans" w:eastAsia="IBM Plex Sans" w:hAnsi="IBM Plex Sans"/>
          <w:color w:val="1A1A1A"/>
          <w:sz w:val="21"/>
          <w:szCs w:val="21"/>
        </w:rPr>
        <w:t xml:space="preserve">Intellectual Property</w:t>
      </w:r>
      <w:r>
        <w:rPr>
          <w:rFonts w:ascii="IBM Plex Sans" w:cs="IBM Plex Sans" w:eastAsia="IBM Plex Sans" w:hAnsi="IBM Plex Sans"/>
          <w:color w:val="6B6B6B"/>
          <w:sz w:val="21"/>
          <w:szCs w:val="21"/>
        </w:rPr>
        <w:t xml:space="preserve">	6</w:t>
      </w:r>
    </w:p>
    <w:p>
      <w:pPr>
        <w:tabs>
          <w:tab w:val="right" w:pos="9026" w:leader="dot"/>
        </w:tabs>
        <w:spacing w:after="150"/>
      </w:pPr>
      <w:r>
        <w:rPr>
          <w:rFonts w:ascii="IBM Plex Sans" w:cs="IBM Plex Sans" w:eastAsia="IBM Plex Sans" w:hAnsi="IBM Plex Sans"/>
          <w:b/>
          <w:bCs/>
          <w:color w:val="6D3FC0"/>
          <w:sz w:val="21"/>
          <w:szCs w:val="21"/>
        </w:rPr>
        <w:t xml:space="preserve">17.  </w:t>
      </w:r>
      <w:r>
        <w:rPr>
          <w:rFonts w:ascii="IBM Plex Sans" w:cs="IBM Plex Sans" w:eastAsia="IBM Plex Sans" w:hAnsi="IBM Plex Sans"/>
          <w:color w:val="1A1A1A"/>
          <w:sz w:val="21"/>
          <w:szCs w:val="21"/>
        </w:rPr>
        <w:t xml:space="preserve">Warranty</w:t>
      </w:r>
      <w:r>
        <w:rPr>
          <w:rFonts w:ascii="IBM Plex Sans" w:cs="IBM Plex Sans" w:eastAsia="IBM Plex Sans" w:hAnsi="IBM Plex Sans"/>
          <w:color w:val="6B6B6B"/>
          <w:sz w:val="21"/>
          <w:szCs w:val="21"/>
        </w:rPr>
        <w:t xml:space="preserve">	7</w:t>
      </w:r>
    </w:p>
    <w:p>
      <w:pPr>
        <w:tabs>
          <w:tab w:val="right" w:pos="9026" w:leader="dot"/>
        </w:tabs>
        <w:spacing w:after="150"/>
      </w:pPr>
      <w:r>
        <w:rPr>
          <w:rFonts w:ascii="IBM Plex Sans" w:cs="IBM Plex Sans" w:eastAsia="IBM Plex Sans" w:hAnsi="IBM Plex Sans"/>
          <w:b/>
          <w:bCs/>
          <w:color w:val="6D3FC0"/>
          <w:sz w:val="21"/>
          <w:szCs w:val="21"/>
        </w:rPr>
        <w:t xml:space="preserve">18.  </w:t>
      </w:r>
      <w:r>
        <w:rPr>
          <w:rFonts w:ascii="IBM Plex Sans" w:cs="IBM Plex Sans" w:eastAsia="IBM Plex Sans" w:hAnsi="IBM Plex Sans"/>
          <w:color w:val="1A1A1A"/>
          <w:sz w:val="21"/>
          <w:szCs w:val="21"/>
        </w:rPr>
        <w:t xml:space="preserve">Maintenance</w:t>
      </w:r>
      <w:r>
        <w:rPr>
          <w:rFonts w:ascii="IBM Plex Sans" w:cs="IBM Plex Sans" w:eastAsia="IBM Plex Sans" w:hAnsi="IBM Plex Sans"/>
          <w:color w:val="6B6B6B"/>
          <w:sz w:val="21"/>
          <w:szCs w:val="21"/>
        </w:rPr>
        <w:t xml:space="preserve">	7</w:t>
      </w:r>
    </w:p>
    <w:p>
      <w:pPr>
        <w:tabs>
          <w:tab w:val="right" w:pos="9026" w:leader="dot"/>
        </w:tabs>
        <w:spacing w:after="150"/>
      </w:pPr>
      <w:r>
        <w:rPr>
          <w:rFonts w:ascii="IBM Plex Sans" w:cs="IBM Plex Sans" w:eastAsia="IBM Plex Sans" w:hAnsi="IBM Plex Sans"/>
          <w:b/>
          <w:bCs/>
          <w:color w:val="6D3FC0"/>
          <w:sz w:val="21"/>
          <w:szCs w:val="21"/>
        </w:rPr>
        <w:t xml:space="preserve">19.  </w:t>
      </w:r>
      <w:r>
        <w:rPr>
          <w:rFonts w:ascii="IBM Plex Sans" w:cs="IBM Plex Sans" w:eastAsia="IBM Plex Sans" w:hAnsi="IBM Plex Sans"/>
          <w:color w:val="1A1A1A"/>
          <w:sz w:val="21"/>
          <w:szCs w:val="21"/>
        </w:rPr>
        <w:t xml:space="preserve">Cancellation Policy</w:t>
      </w:r>
      <w:r>
        <w:rPr>
          <w:rFonts w:ascii="IBM Plex Sans" w:cs="IBM Plex Sans" w:eastAsia="IBM Plex Sans" w:hAnsi="IBM Plex Sans"/>
          <w:color w:val="6B6B6B"/>
          <w:sz w:val="21"/>
          <w:szCs w:val="21"/>
        </w:rPr>
        <w:t xml:space="preserve">	7</w:t>
      </w:r>
    </w:p>
    <w:p>
      <w:pPr>
        <w:tabs>
          <w:tab w:val="right" w:pos="9026" w:leader="dot"/>
        </w:tabs>
        <w:spacing w:after="150"/>
      </w:pPr>
      <w:r>
        <w:rPr>
          <w:rFonts w:ascii="IBM Plex Sans" w:cs="IBM Plex Sans" w:eastAsia="IBM Plex Sans" w:hAnsi="IBM Plex Sans"/>
          <w:b/>
          <w:bCs/>
          <w:color w:val="6D3FC0"/>
          <w:sz w:val="21"/>
          <w:szCs w:val="21"/>
        </w:rPr>
        <w:t xml:space="preserve">20.  </w:t>
      </w:r>
      <w:r>
        <w:rPr>
          <w:rFonts w:ascii="IBM Plex Sans" w:cs="IBM Plex Sans" w:eastAsia="IBM Plex Sans" w:hAnsi="IBM Plex Sans"/>
          <w:color w:val="1A1A1A"/>
          <w:sz w:val="21"/>
          <w:szCs w:val="21"/>
        </w:rPr>
        <w:t xml:space="preserve">Refund Policy</w:t>
      </w:r>
      <w:r>
        <w:rPr>
          <w:rFonts w:ascii="IBM Plex Sans" w:cs="IBM Plex Sans" w:eastAsia="IBM Plex Sans" w:hAnsi="IBM Plex Sans"/>
          <w:color w:val="6B6B6B"/>
          <w:sz w:val="21"/>
          <w:szCs w:val="21"/>
        </w:rPr>
        <w:t xml:space="preserve">	7</w:t>
      </w:r>
    </w:p>
    <w:p>
      <w:pPr>
        <w:tabs>
          <w:tab w:val="right" w:pos="9026" w:leader="dot"/>
        </w:tabs>
        <w:spacing w:after="150"/>
      </w:pPr>
      <w:r>
        <w:rPr>
          <w:rFonts w:ascii="IBM Plex Sans" w:cs="IBM Plex Sans" w:eastAsia="IBM Plex Sans" w:hAnsi="IBM Plex Sans"/>
          <w:b/>
          <w:bCs/>
          <w:color w:val="6D3FC0"/>
          <w:sz w:val="21"/>
          <w:szCs w:val="21"/>
        </w:rPr>
        <w:t xml:space="preserve">21.  </w:t>
      </w:r>
      <w:r>
        <w:rPr>
          <w:rFonts w:ascii="IBM Plex Sans" w:cs="IBM Plex Sans" w:eastAsia="IBM Plex Sans" w:hAnsi="IBM Plex Sans"/>
          <w:color w:val="1A1A1A"/>
          <w:sz w:val="21"/>
          <w:szCs w:val="21"/>
        </w:rPr>
        <w:t xml:space="preserve">Limitation of Liability</w:t>
      </w:r>
      <w:r>
        <w:rPr>
          <w:rFonts w:ascii="IBM Plex Sans" w:cs="IBM Plex Sans" w:eastAsia="IBM Plex Sans" w:hAnsi="IBM Plex Sans"/>
          <w:color w:val="6B6B6B"/>
          <w:sz w:val="21"/>
          <w:szCs w:val="21"/>
        </w:rPr>
        <w:t xml:space="preserve">	7</w:t>
      </w:r>
    </w:p>
    <w:p>
      <w:pPr>
        <w:tabs>
          <w:tab w:val="right" w:pos="9026" w:leader="dot"/>
        </w:tabs>
        <w:spacing w:after="150"/>
      </w:pPr>
      <w:r>
        <w:rPr>
          <w:rFonts w:ascii="IBM Plex Sans" w:cs="IBM Plex Sans" w:eastAsia="IBM Plex Sans" w:hAnsi="IBM Plex Sans"/>
          <w:b/>
          <w:bCs/>
          <w:color w:val="6D3FC0"/>
          <w:sz w:val="21"/>
          <w:szCs w:val="21"/>
        </w:rPr>
        <w:t xml:space="preserve">22.  </w:t>
      </w:r>
      <w:r>
        <w:rPr>
          <w:rFonts w:ascii="IBM Plex Sans" w:cs="IBM Plex Sans" w:eastAsia="IBM Plex Sans" w:hAnsi="IBM Plex Sans"/>
          <w:color w:val="1A1A1A"/>
          <w:sz w:val="21"/>
          <w:szCs w:val="21"/>
        </w:rPr>
        <w:t xml:space="preserve">Force Majeure</w:t>
      </w:r>
      <w:r>
        <w:rPr>
          <w:rFonts w:ascii="IBM Plex Sans" w:cs="IBM Plex Sans" w:eastAsia="IBM Plex Sans" w:hAnsi="IBM Plex Sans"/>
          <w:color w:val="6B6B6B"/>
          <w:sz w:val="21"/>
          <w:szCs w:val="21"/>
        </w:rPr>
        <w:t xml:space="preserve">	8</w:t>
      </w:r>
    </w:p>
    <w:p>
      <w:pPr>
        <w:tabs>
          <w:tab w:val="right" w:pos="9026" w:leader="dot"/>
        </w:tabs>
        <w:spacing w:after="150"/>
      </w:pPr>
      <w:r>
        <w:rPr>
          <w:rFonts w:ascii="IBM Plex Sans" w:cs="IBM Plex Sans" w:eastAsia="IBM Plex Sans" w:hAnsi="IBM Plex Sans"/>
          <w:b/>
          <w:bCs/>
          <w:color w:val="6D3FC0"/>
          <w:sz w:val="21"/>
          <w:szCs w:val="21"/>
        </w:rPr>
        <w:t xml:space="preserve">23.  </w:t>
      </w:r>
      <w:r>
        <w:rPr>
          <w:rFonts w:ascii="IBM Plex Sans" w:cs="IBM Plex Sans" w:eastAsia="IBM Plex Sans" w:hAnsi="IBM Plex Sans"/>
          <w:color w:val="1A1A1A"/>
          <w:sz w:val="21"/>
          <w:szCs w:val="21"/>
        </w:rPr>
        <w:t xml:space="preserve">Disclaimers</w:t>
      </w:r>
      <w:r>
        <w:rPr>
          <w:rFonts w:ascii="IBM Plex Sans" w:cs="IBM Plex Sans" w:eastAsia="IBM Plex Sans" w:hAnsi="IBM Plex Sans"/>
          <w:color w:val="6B6B6B"/>
          <w:sz w:val="21"/>
          <w:szCs w:val="21"/>
        </w:rPr>
        <w:t xml:space="preserve">	8</w:t>
      </w:r>
    </w:p>
    <w:p>
      <w:pPr>
        <w:tabs>
          <w:tab w:val="right" w:pos="9026" w:leader="dot"/>
        </w:tabs>
        <w:spacing w:after="150"/>
      </w:pPr>
      <w:r>
        <w:rPr>
          <w:rFonts w:ascii="IBM Plex Sans" w:cs="IBM Plex Sans" w:eastAsia="IBM Plex Sans" w:hAnsi="IBM Plex Sans"/>
          <w:b/>
          <w:bCs/>
          <w:color w:val="6D3FC0"/>
          <w:sz w:val="21"/>
          <w:szCs w:val="21"/>
        </w:rPr>
        <w:t xml:space="preserve">24.  </w:t>
      </w:r>
      <w:r>
        <w:rPr>
          <w:rFonts w:ascii="IBM Plex Sans" w:cs="IBM Plex Sans" w:eastAsia="IBM Plex Sans" w:hAnsi="IBM Plex Sans"/>
          <w:color w:val="1A1A1A"/>
          <w:sz w:val="21"/>
          <w:szCs w:val="21"/>
        </w:rPr>
        <w:t xml:space="preserve">Governing Law</w:t>
      </w:r>
      <w:r>
        <w:rPr>
          <w:rFonts w:ascii="IBM Plex Sans" w:cs="IBM Plex Sans" w:eastAsia="IBM Plex Sans" w:hAnsi="IBM Plex Sans"/>
          <w:color w:val="6B6B6B"/>
          <w:sz w:val="21"/>
          <w:szCs w:val="21"/>
        </w:rPr>
        <w:t xml:space="preserve">	8</w:t>
      </w:r>
    </w:p>
    <w:p>
      <w:pPr>
        <w:tabs>
          <w:tab w:val="right" w:pos="9026" w:leader="dot"/>
        </w:tabs>
        <w:spacing w:after="150"/>
      </w:pPr>
      <w:r>
        <w:rPr>
          <w:rFonts w:ascii="IBM Plex Sans" w:cs="IBM Plex Sans" w:eastAsia="IBM Plex Sans" w:hAnsi="IBM Plex Sans"/>
          <w:b/>
          <w:bCs/>
          <w:color w:val="6D3FC0"/>
          <w:sz w:val="21"/>
          <w:szCs w:val="21"/>
        </w:rPr>
        <w:t xml:space="preserve">25.  </w:t>
      </w:r>
      <w:r>
        <w:rPr>
          <w:rFonts w:ascii="IBM Plex Sans" w:cs="IBM Plex Sans" w:eastAsia="IBM Plex Sans" w:hAnsi="IBM Plex Sans"/>
          <w:color w:val="1A1A1A"/>
          <w:sz w:val="21"/>
          <w:szCs w:val="21"/>
        </w:rPr>
        <w:t xml:space="preserve">Acceptance of Terms</w:t>
      </w:r>
      <w:r>
        <w:rPr>
          <w:rFonts w:ascii="IBM Plex Sans" w:cs="IBM Plex Sans" w:eastAsia="IBM Plex Sans" w:hAnsi="IBM Plex Sans"/>
          <w:color w:val="6B6B6B"/>
          <w:sz w:val="21"/>
          <w:szCs w:val="21"/>
        </w:rPr>
        <w:t xml:space="preserve">	8</w:t>
      </w:r>
    </w:p>
    <w:p>
      <w:pPr>
        <w:tabs>
          <w:tab w:val="right" w:pos="9026" w:leader="dot"/>
        </w:tabs>
        <w:spacing w:after="150"/>
      </w:pPr>
      <w:r>
        <w:rPr>
          <w:rFonts w:ascii="IBM Plex Sans" w:cs="IBM Plex Sans" w:eastAsia="IBM Plex Sans" w:hAnsi="IBM Plex Sans"/>
          <w:b/>
          <w:bCs/>
          <w:color w:val="6D3FC0"/>
          <w:sz w:val="21"/>
          <w:szCs w:val="21"/>
        </w:rPr>
        <w:t xml:space="preserve">26.  </w:t>
      </w:r>
      <w:r>
        <w:rPr>
          <w:rFonts w:ascii="IBM Plex Sans" w:cs="IBM Plex Sans" w:eastAsia="IBM Plex Sans" w:hAnsi="IBM Plex Sans"/>
          <w:color w:val="1A1A1A"/>
          <w:sz w:val="21"/>
          <w:szCs w:val="21"/>
        </w:rPr>
        <w:t xml:space="preserve">Contact &amp; Support</w:t>
      </w:r>
      <w:r>
        <w:rPr>
          <w:rFonts w:ascii="IBM Plex Sans" w:cs="IBM Plex Sans" w:eastAsia="IBM Plex Sans" w:hAnsi="IBM Plex Sans"/>
          <w:color w:val="6B6B6B"/>
          <w:sz w:val="21"/>
          <w:szCs w:val="21"/>
        </w:rPr>
        <w:t xml:space="preserve">	8</w:t>
      </w:r>
    </w:p>
    <w:p>
      <w:r>
        <w:br w:type="page"/>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1.  </w:t>
      </w:r>
      <w:r>
        <w:rPr>
          <w:rFonts w:ascii="IBM Plex Sans" w:cs="IBM Plex Sans" w:eastAsia="IBM Plex Sans" w:hAnsi="IBM Plex Sans"/>
          <w:b/>
          <w:bCs/>
          <w:color w:val="1A1A1A"/>
          <w:sz w:val="26"/>
          <w:szCs w:val="26"/>
        </w:rPr>
        <w:t xml:space="preserve">Introduction</w:t>
      </w:r>
    </w:p>
    <w:p>
      <w:pPr>
        <w:spacing w:after="160" w:line="288"/>
        <w:jc w:val="both"/>
      </w:pPr>
      <w:r>
        <w:rPr>
          <w:rFonts w:ascii="IBM Plex Sans" w:cs="IBM Plex Sans" w:eastAsia="IBM Plex Sans" w:hAnsi="IBM Plex Sans"/>
          <w:color w:val="1A1A1A"/>
          <w:sz w:val="21"/>
          <w:szCs w:val="21"/>
        </w:rPr>
        <w:t xml:space="preserve">This document sets out the standard policies, commercial terms, and confidentiality obligations that govern the provision of website and digital product development services. It applies to all engagements, proposals, and quotations issued unless expressly varied by a separate written agreement signed by both parties.</w:t>
      </w:r>
    </w:p>
    <w:p>
      <w:pPr>
        <w:spacing w:after="160" w:line="288"/>
        <w:jc w:val="both"/>
      </w:pPr>
      <w:r>
        <w:rPr>
          <w:rFonts w:ascii="IBM Plex Sans" w:cs="IBM Plex Sans" w:eastAsia="IBM Plex Sans" w:hAnsi="IBM Plex Sans"/>
          <w:color w:val="1A1A1A"/>
          <w:sz w:val="21"/>
          <w:szCs w:val="21"/>
        </w:rPr>
        <w:t xml:space="preserve">By requesting a quotation, accepting a proposal, or making an advance payment, the client acknowledges that they have read, understood, and agreed to the terms described herein. This document is intended to be read alongside the project-specific quotation, which defines the scope, price, and timeline for an individual engagement.</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2.  </w:t>
      </w:r>
      <w:r>
        <w:rPr>
          <w:rFonts w:ascii="IBM Plex Sans" w:cs="IBM Plex Sans" w:eastAsia="IBM Plex Sans" w:hAnsi="IBM Plex Sans"/>
          <w:b/>
          <w:bCs/>
          <w:color w:val="1A1A1A"/>
          <w:sz w:val="26"/>
          <w:szCs w:val="26"/>
        </w:rPr>
        <w:t xml:space="preserve">Our Services</w:t>
      </w:r>
    </w:p>
    <w:p>
      <w:pPr>
        <w:spacing w:after="160" w:line="288"/>
        <w:jc w:val="both"/>
      </w:pPr>
      <w:r>
        <w:rPr>
          <w:rFonts w:ascii="IBM Plex Sans" w:cs="IBM Plex Sans" w:eastAsia="IBM Plex Sans" w:hAnsi="IBM Plex Sans"/>
          <w:color w:val="1A1A1A"/>
          <w:sz w:val="21"/>
          <w:szCs w:val="21"/>
        </w:rPr>
        <w:t xml:space="preserve">Services offered include, without limitation, custom website design and development, e-commerce platforms, user interface and user experience design, administrative dashboards, application programming interface (API) integrations, payment gateway integration, hosting and deployment support, search engine optimisation (SEO) setup, and ongoing maintenance and support. The precise scope applicable to a given engagement is defined exclusively in the corresponding project quotation.</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3.  </w:t>
      </w:r>
      <w:r>
        <w:rPr>
          <w:rFonts w:ascii="IBM Plex Sans" w:cs="IBM Plex Sans" w:eastAsia="IBM Plex Sans" w:hAnsi="IBM Plex Sans"/>
          <w:b/>
          <w:bCs/>
          <w:color w:val="1A1A1A"/>
          <w:sz w:val="26"/>
          <w:szCs w:val="26"/>
        </w:rPr>
        <w:t xml:space="preserve">Development Process</w:t>
      </w:r>
    </w:p>
    <w:p>
      <w:pPr>
        <w:spacing w:after="160" w:line="288"/>
        <w:jc w:val="both"/>
      </w:pPr>
      <w:r>
        <w:rPr>
          <w:rFonts w:ascii="IBM Plex Sans" w:cs="IBM Plex Sans" w:eastAsia="IBM Plex Sans" w:hAnsi="IBM Plex Sans"/>
          <w:color w:val="1A1A1A"/>
          <w:sz w:val="21"/>
          <w:szCs w:val="21"/>
        </w:rPr>
        <w:t xml:space="preserve">Projects are executed in accordance with the following structured workflow, which is designed to ensure predictable delivery and clear points of client review:</w:t>
      </w:r>
    </w:p>
    <w:p>
      <w:pPr>
        <w:spacing w:after="90" w:line="276"/>
        <w:ind w:left="403"/>
      </w:pPr>
      <w:r>
        <w:rPr>
          <w:rFonts w:ascii="IBM Plex Sans" w:cs="IBM Plex Sans" w:eastAsia="IBM Plex Sans" w:hAnsi="IBM Plex Sans"/>
          <w:color w:val="6D3FC0"/>
          <w:sz w:val="21"/>
          <w:szCs w:val="21"/>
        </w:rPr>
        <w:t xml:space="preserve">— </w:t>
      </w:r>
      <w:r>
        <w:rPr>
          <w:rFonts w:ascii="IBM Plex Sans" w:cs="IBM Plex Sans" w:eastAsia="IBM Plex Sans" w:hAnsi="IBM Plex Sans"/>
          <w:color w:val="1A1A1A"/>
          <w:sz w:val="21"/>
          <w:szCs w:val="21"/>
        </w:rPr>
        <w:t xml:space="preserve">Requirement Analysis — gathering and documenting business objectives, functional requirements, and technical constraints.</w:t>
      </w:r>
    </w:p>
    <w:p>
      <w:pPr>
        <w:spacing w:after="90" w:line="276"/>
        <w:ind w:left="403"/>
      </w:pPr>
      <w:r>
        <w:rPr>
          <w:rFonts w:ascii="IBM Plex Sans" w:cs="IBM Plex Sans" w:eastAsia="IBM Plex Sans" w:hAnsi="IBM Plex Sans"/>
          <w:color w:val="6D3FC0"/>
          <w:sz w:val="21"/>
          <w:szCs w:val="21"/>
        </w:rPr>
        <w:t xml:space="preserve">— </w:t>
      </w:r>
      <w:r>
        <w:rPr>
          <w:rFonts w:ascii="IBM Plex Sans" w:cs="IBM Plex Sans" w:eastAsia="IBM Plex Sans" w:hAnsi="IBM Plex Sans"/>
          <w:color w:val="1A1A1A"/>
          <w:sz w:val="21"/>
          <w:szCs w:val="21"/>
        </w:rPr>
        <w:t xml:space="preserve">Planning — defining the project timeline, milestones, and resource allocation.</w:t>
      </w:r>
    </w:p>
    <w:p>
      <w:pPr>
        <w:spacing w:after="90" w:line="276"/>
        <w:ind w:left="403"/>
      </w:pPr>
      <w:r>
        <w:rPr>
          <w:rFonts w:ascii="IBM Plex Sans" w:cs="IBM Plex Sans" w:eastAsia="IBM Plex Sans" w:hAnsi="IBM Plex Sans"/>
          <w:color w:val="6D3FC0"/>
          <w:sz w:val="21"/>
          <w:szCs w:val="21"/>
        </w:rPr>
        <w:t xml:space="preserve">— </w:t>
      </w:r>
      <w:r>
        <w:rPr>
          <w:rFonts w:ascii="IBM Plex Sans" w:cs="IBM Plex Sans" w:eastAsia="IBM Plex Sans" w:hAnsi="IBM Plex Sans"/>
          <w:color w:val="1A1A1A"/>
          <w:sz w:val="21"/>
          <w:szCs w:val="21"/>
        </w:rPr>
        <w:t xml:space="preserve">UI/UX Design — producing wireframes and visual designs for client review and approval.</w:t>
      </w:r>
    </w:p>
    <w:p>
      <w:pPr>
        <w:spacing w:after="90" w:line="276"/>
        <w:ind w:left="403"/>
      </w:pPr>
      <w:r>
        <w:rPr>
          <w:rFonts w:ascii="IBM Plex Sans" w:cs="IBM Plex Sans" w:eastAsia="IBM Plex Sans" w:hAnsi="IBM Plex Sans"/>
          <w:color w:val="6D3FC0"/>
          <w:sz w:val="21"/>
          <w:szCs w:val="21"/>
        </w:rPr>
        <w:t xml:space="preserve">— </w:t>
      </w:r>
      <w:r>
        <w:rPr>
          <w:rFonts w:ascii="IBM Plex Sans" w:cs="IBM Plex Sans" w:eastAsia="IBM Plex Sans" w:hAnsi="IBM Plex Sans"/>
          <w:color w:val="1A1A1A"/>
          <w:sz w:val="21"/>
          <w:szCs w:val="21"/>
        </w:rPr>
        <w:t xml:space="preserve">Development — building the approved design into a functioning system.</w:t>
      </w:r>
    </w:p>
    <w:p>
      <w:pPr>
        <w:spacing w:after="90" w:line="276"/>
        <w:ind w:left="403"/>
      </w:pPr>
      <w:r>
        <w:rPr>
          <w:rFonts w:ascii="IBM Plex Sans" w:cs="IBM Plex Sans" w:eastAsia="IBM Plex Sans" w:hAnsi="IBM Plex Sans"/>
          <w:color w:val="6D3FC0"/>
          <w:sz w:val="21"/>
          <w:szCs w:val="21"/>
        </w:rPr>
        <w:t xml:space="preserve">— </w:t>
      </w:r>
      <w:r>
        <w:rPr>
          <w:rFonts w:ascii="IBM Plex Sans" w:cs="IBM Plex Sans" w:eastAsia="IBM Plex Sans" w:hAnsi="IBM Plex Sans"/>
          <w:color w:val="1A1A1A"/>
          <w:sz w:val="21"/>
          <w:szCs w:val="21"/>
        </w:rPr>
        <w:t xml:space="preserve">Testing &amp; Quality Assurance — verifying functionality, responsiveness, and cross-browser compatibility.</w:t>
      </w:r>
    </w:p>
    <w:p>
      <w:pPr>
        <w:spacing w:after="90" w:line="276"/>
        <w:ind w:left="403"/>
      </w:pPr>
      <w:r>
        <w:rPr>
          <w:rFonts w:ascii="IBM Plex Sans" w:cs="IBM Plex Sans" w:eastAsia="IBM Plex Sans" w:hAnsi="IBM Plex Sans"/>
          <w:color w:val="6D3FC0"/>
          <w:sz w:val="21"/>
          <w:szCs w:val="21"/>
        </w:rPr>
        <w:t xml:space="preserve">— </w:t>
      </w:r>
      <w:r>
        <w:rPr>
          <w:rFonts w:ascii="IBM Plex Sans" w:cs="IBM Plex Sans" w:eastAsia="IBM Plex Sans" w:hAnsi="IBM Plex Sans"/>
          <w:color w:val="1A1A1A"/>
          <w:sz w:val="21"/>
          <w:szCs w:val="21"/>
        </w:rPr>
        <w:t xml:space="preserve">Client Review — presenting the working system for feedback within the agreed revision policy.</w:t>
      </w:r>
    </w:p>
    <w:p>
      <w:pPr>
        <w:spacing w:after="90" w:line="276"/>
        <w:ind w:left="403"/>
      </w:pPr>
      <w:r>
        <w:rPr>
          <w:rFonts w:ascii="IBM Plex Sans" w:cs="IBM Plex Sans" w:eastAsia="IBM Plex Sans" w:hAnsi="IBM Plex Sans"/>
          <w:color w:val="6D3FC0"/>
          <w:sz w:val="21"/>
          <w:szCs w:val="21"/>
        </w:rPr>
        <w:t xml:space="preserve">— </w:t>
      </w:r>
      <w:r>
        <w:rPr>
          <w:rFonts w:ascii="IBM Plex Sans" w:cs="IBM Plex Sans" w:eastAsia="IBM Plex Sans" w:hAnsi="IBM Plex Sans"/>
          <w:color w:val="1A1A1A"/>
          <w:sz w:val="21"/>
          <w:szCs w:val="21"/>
        </w:rPr>
        <w:t xml:space="preserve">Deployment — publishing the system to the production environment.</w:t>
      </w:r>
    </w:p>
    <w:p>
      <w:pPr>
        <w:spacing w:after="90" w:line="276"/>
        <w:ind w:left="403"/>
      </w:pPr>
      <w:r>
        <w:rPr>
          <w:rFonts w:ascii="IBM Plex Sans" w:cs="IBM Plex Sans" w:eastAsia="IBM Plex Sans" w:hAnsi="IBM Plex Sans"/>
          <w:color w:val="6D3FC0"/>
          <w:sz w:val="21"/>
          <w:szCs w:val="21"/>
        </w:rPr>
        <w:t xml:space="preserve">— </w:t>
      </w:r>
      <w:r>
        <w:rPr>
          <w:rFonts w:ascii="IBM Plex Sans" w:cs="IBM Plex Sans" w:eastAsia="IBM Plex Sans" w:hAnsi="IBM Plex Sans"/>
          <w:color w:val="1A1A1A"/>
          <w:sz w:val="21"/>
          <w:szCs w:val="21"/>
        </w:rPr>
        <w:t xml:space="preserve">Post-Launch Support — providing the warranty period and, where applicable, ongoing maintenance.</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4.  </w:t>
      </w:r>
      <w:r>
        <w:rPr>
          <w:rFonts w:ascii="IBM Plex Sans" w:cs="IBM Plex Sans" w:eastAsia="IBM Plex Sans" w:hAnsi="IBM Plex Sans"/>
          <w:b/>
          <w:bCs/>
          <w:color w:val="1A1A1A"/>
          <w:sz w:val="26"/>
          <w:szCs w:val="26"/>
        </w:rPr>
        <w:t xml:space="preserve">Commercial Policy</w:t>
      </w:r>
    </w:p>
    <w:p>
      <w:pPr>
        <w:spacing w:after="160" w:line="288"/>
        <w:jc w:val="both"/>
      </w:pPr>
      <w:r>
        <w:rPr>
          <w:rFonts w:ascii="IBM Plex Sans" w:cs="IBM Plex Sans" w:eastAsia="IBM Plex Sans" w:hAnsi="IBM Plex Sans"/>
          <w:color w:val="1A1A1A"/>
          <w:sz w:val="21"/>
          <w:szCs w:val="21"/>
        </w:rPr>
        <w:t xml:space="preserve">Each engagement is estimated individually based on its complexity, number of pages or screens, functional requirements, third-party integrations, and delivery timeline. Quotations are issued in writing and remain valid for a period of thirty (30) days from the date of issue, after which they are subject to review and possible revision. Any change in the scope of work following acceptance of a quotation will be treated in accordance with the Change Request Policy set out in Section 10.</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5.  </w:t>
      </w:r>
      <w:r>
        <w:rPr>
          <w:rFonts w:ascii="IBM Plex Sans" w:cs="IBM Plex Sans" w:eastAsia="IBM Plex Sans" w:hAnsi="IBM Plex Sans"/>
          <w:b/>
          <w:bCs/>
          <w:color w:val="1A1A1A"/>
          <w:sz w:val="26"/>
          <w:szCs w:val="26"/>
        </w:rPr>
        <w:t xml:space="preserve">Payment Policy</w:t>
      </w:r>
    </w:p>
    <w:p>
      <w:pPr>
        <w:spacing w:after="160" w:line="288"/>
        <w:jc w:val="both"/>
      </w:pPr>
      <w:r>
        <w:rPr>
          <w:rFonts w:ascii="IBM Plex Sans" w:cs="IBM Plex Sans" w:eastAsia="IBM Plex Sans" w:hAnsi="IBM Plex Sans"/>
          <w:color w:val="1A1A1A"/>
          <w:sz w:val="21"/>
          <w:szCs w:val="21"/>
        </w:rPr>
        <w:t xml:space="preserve">Payments for all engagements are structured on a milestone basis,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rPr>
          <w:tblHeader/>
        </w:trPr>
        <w:tc>
          <w:tcPr>
            <w:tcW w:type="dxa" w:w="1800"/>
            <w:shd w:fill="6D3FC0" w:val="clear"/>
            <w:tcMar>
              <w:top w:type="dxa" w:w="120"/>
              <w:left w:type="dxa" w:w="140"/>
              <w:bottom w:type="dxa" w:w="120"/>
              <w:right w:type="dxa" w:w="140"/>
            </w:tcMar>
            <w:vAlign w:val="center"/>
          </w:tcPr>
          <w:p>
            <w:pPr>
              <w:jc w:val="left"/>
            </w:pPr>
            <w:r>
              <w:rPr>
                <w:rFonts w:ascii="IBM Plex Sans" w:cs="IBM Plex Sans" w:eastAsia="IBM Plex Sans" w:hAnsi="IBM Plex Sans"/>
                <w:b/>
                <w:bCs/>
                <w:color w:val="FFFFFF"/>
                <w:sz w:val="20"/>
                <w:szCs w:val="20"/>
              </w:rPr>
              <w:t xml:space="preserve">Milestone</w:t>
            </w:r>
          </w:p>
        </w:tc>
        <w:tc>
          <w:tcPr>
            <w:tcW w:type="dxa" w:w="3480"/>
            <w:shd w:fill="6D3FC0" w:val="clear"/>
            <w:tcMar>
              <w:top w:type="dxa" w:w="120"/>
              <w:left w:type="dxa" w:w="140"/>
              <w:bottom w:type="dxa" w:w="120"/>
              <w:right w:type="dxa" w:w="140"/>
            </w:tcMar>
            <w:vAlign w:val="center"/>
          </w:tcPr>
          <w:p>
            <w:pPr>
              <w:jc w:val="left"/>
            </w:pPr>
            <w:r>
              <w:rPr>
                <w:rFonts w:ascii="IBM Plex Sans" w:cs="IBM Plex Sans" w:eastAsia="IBM Plex Sans" w:hAnsi="IBM Plex Sans"/>
                <w:b/>
                <w:bCs/>
                <w:color w:val="FFFFFF"/>
                <w:sz w:val="20"/>
                <w:szCs w:val="20"/>
              </w:rPr>
              <w:t xml:space="preserve">Payment</w:t>
            </w:r>
          </w:p>
        </w:tc>
        <w:tc>
          <w:tcPr>
            <w:tcW w:type="dxa" w:w="4080"/>
            <w:shd w:fill="6D3FC0" w:val="clear"/>
            <w:tcMar>
              <w:top w:type="dxa" w:w="120"/>
              <w:left w:type="dxa" w:w="140"/>
              <w:bottom w:type="dxa" w:w="120"/>
              <w:right w:type="dxa" w:w="140"/>
            </w:tcMar>
            <w:vAlign w:val="center"/>
          </w:tcPr>
          <w:p>
            <w:pPr>
              <w:jc w:val="left"/>
            </w:pPr>
            <w:r>
              <w:rPr>
                <w:rFonts w:ascii="IBM Plex Sans" w:cs="IBM Plex Sans" w:eastAsia="IBM Plex Sans" w:hAnsi="IBM Plex Sans"/>
                <w:b/>
                <w:bCs/>
                <w:color w:val="FFFFFF"/>
                <w:sz w:val="20"/>
                <w:szCs w:val="20"/>
              </w:rPr>
              <w:t xml:space="preserve">Trigger</w:t>
            </w:r>
          </w:p>
        </w:tc>
      </w:tr>
      <w:tr>
        <w:tc>
          <w:tcPr>
            <w:tcW w:type="dxa" w:w="1800"/>
            <w:tcMar>
              <w:top w:type="dxa" w:w="120"/>
              <w:left w:type="dxa" w:w="140"/>
              <w:bottom w:type="dxa" w:w="120"/>
              <w:right w:type="dxa" w:w="140"/>
            </w:tcMar>
            <w:vAlign w:val="center"/>
          </w:tcPr>
          <w:p>
            <w:pPr>
              <w:jc w:val="left"/>
            </w:pPr>
            <w:r>
              <w:rPr>
                <w:rFonts w:ascii="IBM Plex Sans" w:cs="IBM Plex Sans" w:eastAsia="IBM Plex Sans" w:hAnsi="IBM Plex Sans"/>
                <w:b w:val="false"/>
                <w:bCs w:val="false"/>
                <w:color w:val="1A1A1A"/>
                <w:sz w:val="20"/>
                <w:szCs w:val="20"/>
              </w:rPr>
              <w:t xml:space="preserve">1</w:t>
            </w:r>
          </w:p>
        </w:tc>
        <w:tc>
          <w:tcPr>
            <w:tcW w:type="dxa" w:w="3480"/>
            <w:tcMar>
              <w:top w:type="dxa" w:w="120"/>
              <w:left w:type="dxa" w:w="140"/>
              <w:bottom w:type="dxa" w:w="120"/>
              <w:right w:type="dxa" w:w="140"/>
            </w:tcMar>
            <w:vAlign w:val="center"/>
          </w:tcPr>
          <w:p>
            <w:pPr>
              <w:jc w:val="left"/>
            </w:pPr>
            <w:r>
              <w:rPr>
                <w:rFonts w:ascii="IBM Plex Sans" w:cs="IBM Plex Sans" w:eastAsia="IBM Plex Sans" w:hAnsi="IBM Plex Sans"/>
                <w:b/>
                <w:bCs/>
                <w:color w:val="1A1A1A"/>
                <w:sz w:val="20"/>
                <w:szCs w:val="20"/>
              </w:rPr>
              <w:t xml:space="preserve">50% — Advance Payment</w:t>
            </w:r>
          </w:p>
        </w:tc>
        <w:tc>
          <w:tcPr>
            <w:tcW w:type="dxa" w:w="4080"/>
            <w:tcMar>
              <w:top w:type="dxa" w:w="120"/>
              <w:left w:type="dxa" w:w="140"/>
              <w:bottom w:type="dxa" w:w="120"/>
              <w:right w:type="dxa" w:w="140"/>
            </w:tcMar>
            <w:vAlign w:val="center"/>
          </w:tcPr>
          <w:p>
            <w:pPr>
              <w:jc w:val="left"/>
            </w:pPr>
            <w:r>
              <w:rPr>
                <w:rFonts w:ascii="IBM Plex Sans" w:cs="IBM Plex Sans" w:eastAsia="IBM Plex Sans" w:hAnsi="IBM Plex Sans"/>
                <w:b w:val="false"/>
                <w:bCs w:val="false"/>
                <w:color w:val="1A1A1A"/>
                <w:sz w:val="20"/>
                <w:szCs w:val="20"/>
              </w:rPr>
              <w:t xml:space="preserve">Payable prior to commencement of the project.</w:t>
            </w:r>
          </w:p>
        </w:tc>
      </w:tr>
      <w:tr>
        <w:tc>
          <w:tcPr>
            <w:tcW w:type="dxa" w:w="1800"/>
            <w:shd w:fill="F3EFFC" w:val="clear"/>
            <w:tcMar>
              <w:top w:type="dxa" w:w="120"/>
              <w:left w:type="dxa" w:w="140"/>
              <w:bottom w:type="dxa" w:w="120"/>
              <w:right w:type="dxa" w:w="140"/>
            </w:tcMar>
            <w:vAlign w:val="center"/>
          </w:tcPr>
          <w:p>
            <w:pPr>
              <w:jc w:val="left"/>
            </w:pPr>
            <w:r>
              <w:rPr>
                <w:rFonts w:ascii="IBM Plex Sans" w:cs="IBM Plex Sans" w:eastAsia="IBM Plex Sans" w:hAnsi="IBM Plex Sans"/>
                <w:b w:val="false"/>
                <w:bCs w:val="false"/>
                <w:color w:val="1A1A1A"/>
                <w:sz w:val="20"/>
                <w:szCs w:val="20"/>
              </w:rPr>
              <w:t xml:space="preserve">2</w:t>
            </w:r>
          </w:p>
        </w:tc>
        <w:tc>
          <w:tcPr>
            <w:tcW w:type="dxa" w:w="3480"/>
            <w:shd w:fill="F3EFFC" w:val="clear"/>
            <w:tcMar>
              <w:top w:type="dxa" w:w="120"/>
              <w:left w:type="dxa" w:w="140"/>
              <w:bottom w:type="dxa" w:w="120"/>
              <w:right w:type="dxa" w:w="140"/>
            </w:tcMar>
            <w:vAlign w:val="center"/>
          </w:tcPr>
          <w:p>
            <w:pPr>
              <w:jc w:val="left"/>
            </w:pPr>
            <w:r>
              <w:rPr>
                <w:rFonts w:ascii="IBM Plex Sans" w:cs="IBM Plex Sans" w:eastAsia="IBM Plex Sans" w:hAnsi="IBM Plex Sans"/>
                <w:b/>
                <w:bCs/>
                <w:color w:val="1A1A1A"/>
                <w:sz w:val="20"/>
                <w:szCs w:val="20"/>
              </w:rPr>
              <w:t xml:space="preserve">30% — Development Milestone</w:t>
            </w:r>
          </w:p>
        </w:tc>
        <w:tc>
          <w:tcPr>
            <w:tcW w:type="dxa" w:w="4080"/>
            <w:shd w:fill="F3EFFC" w:val="clear"/>
            <w:tcMar>
              <w:top w:type="dxa" w:w="120"/>
              <w:left w:type="dxa" w:w="140"/>
              <w:bottom w:type="dxa" w:w="120"/>
              <w:right w:type="dxa" w:w="140"/>
            </w:tcMar>
            <w:vAlign w:val="center"/>
          </w:tcPr>
          <w:p>
            <w:pPr>
              <w:jc w:val="left"/>
            </w:pPr>
            <w:r>
              <w:rPr>
                <w:rFonts w:ascii="IBM Plex Sans" w:cs="IBM Plex Sans" w:eastAsia="IBM Plex Sans" w:hAnsi="IBM Plex Sans"/>
                <w:b w:val="false"/>
                <w:bCs w:val="false"/>
                <w:color w:val="1A1A1A"/>
                <w:sz w:val="20"/>
                <w:szCs w:val="20"/>
              </w:rPr>
              <w:t xml:space="preserve">Payable upon completion of the primary development milestone and demonstration of the working system.</w:t>
            </w:r>
          </w:p>
        </w:tc>
      </w:tr>
      <w:tr>
        <w:tc>
          <w:tcPr>
            <w:tcW w:type="dxa" w:w="1800"/>
            <w:tcMar>
              <w:top w:type="dxa" w:w="120"/>
              <w:left w:type="dxa" w:w="140"/>
              <w:bottom w:type="dxa" w:w="120"/>
              <w:right w:type="dxa" w:w="140"/>
            </w:tcMar>
            <w:vAlign w:val="center"/>
          </w:tcPr>
          <w:p>
            <w:pPr>
              <w:jc w:val="left"/>
            </w:pPr>
            <w:r>
              <w:rPr>
                <w:rFonts w:ascii="IBM Plex Sans" w:cs="IBM Plex Sans" w:eastAsia="IBM Plex Sans" w:hAnsi="IBM Plex Sans"/>
                <w:b w:val="false"/>
                <w:bCs w:val="false"/>
                <w:color w:val="1A1A1A"/>
                <w:sz w:val="20"/>
                <w:szCs w:val="20"/>
              </w:rPr>
              <w:t xml:space="preserve">3</w:t>
            </w:r>
          </w:p>
        </w:tc>
        <w:tc>
          <w:tcPr>
            <w:tcW w:type="dxa" w:w="3480"/>
            <w:tcMar>
              <w:top w:type="dxa" w:w="120"/>
              <w:left w:type="dxa" w:w="140"/>
              <w:bottom w:type="dxa" w:w="120"/>
              <w:right w:type="dxa" w:w="140"/>
            </w:tcMar>
            <w:vAlign w:val="center"/>
          </w:tcPr>
          <w:p>
            <w:pPr>
              <w:jc w:val="left"/>
            </w:pPr>
            <w:r>
              <w:rPr>
                <w:rFonts w:ascii="IBM Plex Sans" w:cs="IBM Plex Sans" w:eastAsia="IBM Plex Sans" w:hAnsi="IBM Plex Sans"/>
                <w:b/>
                <w:bCs/>
                <w:color w:val="1A1A1A"/>
                <w:sz w:val="20"/>
                <w:szCs w:val="20"/>
              </w:rPr>
              <w:t xml:space="preserve">20% — Final Settlement</w:t>
            </w:r>
          </w:p>
        </w:tc>
        <w:tc>
          <w:tcPr>
            <w:tcW w:type="dxa" w:w="4080"/>
            <w:tcMar>
              <w:top w:type="dxa" w:w="120"/>
              <w:left w:type="dxa" w:w="140"/>
              <w:bottom w:type="dxa" w:w="120"/>
              <w:right w:type="dxa" w:w="140"/>
            </w:tcMar>
            <w:vAlign w:val="center"/>
          </w:tcPr>
          <w:p>
            <w:pPr>
              <w:jc w:val="left"/>
            </w:pPr>
            <w:r>
              <w:rPr>
                <w:rFonts w:ascii="IBM Plex Sans" w:cs="IBM Plex Sans" w:eastAsia="IBM Plex Sans" w:hAnsi="IBM Plex Sans"/>
                <w:b w:val="false"/>
                <w:bCs w:val="false"/>
                <w:color w:val="1A1A1A"/>
                <w:sz w:val="20"/>
                <w:szCs w:val="20"/>
              </w:rPr>
              <w:t xml:space="preserve">Payable prior to production deployment and final handover of all project assets.</w:t>
            </w:r>
          </w:p>
        </w:tc>
      </w:tr>
    </w:tbl>
    <w:p>
      <w:pPr>
        <w:spacing w:after="60" w:before="240"/>
      </w:pPr>
      <w:r>
        <w:t xml:space="preserve"/>
      </w:r>
    </w:p>
    <w:p>
      <w:pPr>
        <w:spacing w:after="60" w:before="160"/>
      </w:pPr>
      <w:r>
        <w:rPr>
          <w:rFonts w:ascii="IBM Plex Sans" w:cs="IBM Plex Sans" w:eastAsia="IBM Plex Sans" w:hAnsi="IBM Plex Sans"/>
          <w:b/>
          <w:bCs/>
          <w:color w:val="1A1A1A"/>
          <w:sz w:val="21"/>
          <w:szCs w:val="21"/>
        </w:rPr>
        <w:t xml:space="preserve">Additional payment terms:</w:t>
      </w:r>
    </w:p>
    <w:p>
      <w:pPr>
        <w:spacing w:after="90" w:line="276"/>
        <w:ind w:left="403"/>
      </w:pPr>
      <w:r>
        <w:rPr>
          <w:rFonts w:ascii="IBM Plex Sans" w:cs="IBM Plex Sans" w:eastAsia="IBM Plex Sans" w:hAnsi="IBM Plex Sans"/>
          <w:color w:val="6D3FC0"/>
          <w:sz w:val="21"/>
          <w:szCs w:val="21"/>
        </w:rPr>
        <w:t xml:space="preserve">— </w:t>
      </w:r>
      <w:r>
        <w:rPr>
          <w:rFonts w:ascii="IBM Plex Sans" w:cs="IBM Plex Sans" w:eastAsia="IBM Plex Sans" w:hAnsi="IBM Plex Sans"/>
          <w:color w:val="1A1A1A"/>
          <w:sz w:val="21"/>
          <w:szCs w:val="21"/>
        </w:rPr>
        <w:t xml:space="preserve">Work may be paused without liability for delay if any milestone payment remains overdue by more than seven (7) days.</w:t>
      </w:r>
    </w:p>
    <w:p>
      <w:pPr>
        <w:spacing w:after="90" w:line="276"/>
        <w:ind w:left="403"/>
      </w:pPr>
      <w:r>
        <w:rPr>
          <w:rFonts w:ascii="IBM Plex Sans" w:cs="IBM Plex Sans" w:eastAsia="IBM Plex Sans" w:hAnsi="IBM Plex Sans"/>
          <w:color w:val="6D3FC0"/>
          <w:sz w:val="21"/>
          <w:szCs w:val="21"/>
        </w:rPr>
        <w:t xml:space="preserve">— </w:t>
      </w:r>
      <w:r>
        <w:rPr>
          <w:rFonts w:ascii="IBM Plex Sans" w:cs="IBM Plex Sans" w:eastAsia="IBM Plex Sans" w:hAnsi="IBM Plex Sans"/>
          <w:color w:val="1A1A1A"/>
          <w:sz w:val="21"/>
          <w:szCs w:val="21"/>
        </w:rPr>
        <w:t xml:space="preserve">All invoices are to be settled within the timeframe stated on the invoice.</w:t>
      </w:r>
    </w:p>
    <w:p>
      <w:pPr>
        <w:spacing w:after="90" w:line="276"/>
        <w:ind w:left="403"/>
      </w:pPr>
      <w:r>
        <w:rPr>
          <w:rFonts w:ascii="IBM Plex Sans" w:cs="IBM Plex Sans" w:eastAsia="IBM Plex Sans" w:hAnsi="IBM Plex Sans"/>
          <w:color w:val="6D3FC0"/>
          <w:sz w:val="21"/>
          <w:szCs w:val="21"/>
        </w:rPr>
        <w:t xml:space="preserve">— </w:t>
      </w:r>
      <w:r>
        <w:rPr>
          <w:rFonts w:ascii="IBM Plex Sans" w:cs="IBM Plex Sans" w:eastAsia="IBM Plex Sans" w:hAnsi="IBM Plex Sans"/>
          <w:color w:val="1A1A1A"/>
          <w:sz w:val="21"/>
          <w:szCs w:val="21"/>
        </w:rPr>
        <w:t xml:space="preserve">Ownership of deliverables transfers only upon receipt of full and final payment, as set out in Section 16.</w:t>
      </w:r>
    </w:p>
    <w:p>
      <w:pPr>
        <w:spacing w:after="90" w:line="276"/>
        <w:ind w:left="403"/>
      </w:pPr>
      <w:r>
        <w:rPr>
          <w:rFonts w:ascii="IBM Plex Sans" w:cs="IBM Plex Sans" w:eastAsia="IBM Plex Sans" w:hAnsi="IBM Plex Sans"/>
          <w:color w:val="6D3FC0"/>
          <w:sz w:val="21"/>
          <w:szCs w:val="21"/>
        </w:rPr>
        <w:t xml:space="preserve">— </w:t>
      </w:r>
      <w:r>
        <w:rPr>
          <w:rFonts w:ascii="IBM Plex Sans" w:cs="IBM Plex Sans" w:eastAsia="IBM Plex Sans" w:hAnsi="IBM Plex Sans"/>
          <w:color w:val="1A1A1A"/>
          <w:sz w:val="21"/>
          <w:szCs w:val="21"/>
        </w:rPr>
        <w:t xml:space="preserve">Applicable taxes, including Goods and Services Tax (GST) where relevant, are charged in addition to the quoted amount unless stated as inclusive.</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6.  </w:t>
      </w:r>
      <w:r>
        <w:rPr>
          <w:rFonts w:ascii="IBM Plex Sans" w:cs="IBM Plex Sans" w:eastAsia="IBM Plex Sans" w:hAnsi="IBM Plex Sans"/>
          <w:b/>
          <w:bCs/>
          <w:color w:val="1A1A1A"/>
          <w:sz w:val="26"/>
          <w:szCs w:val="26"/>
        </w:rPr>
        <w:t xml:space="preserve">Scope of Work</w:t>
      </w:r>
    </w:p>
    <w:p>
      <w:pPr>
        <w:spacing w:after="160" w:line="288"/>
        <w:jc w:val="both"/>
      </w:pPr>
      <w:r>
        <w:rPr>
          <w:rFonts w:ascii="IBM Plex Sans" w:cs="IBM Plex Sans" w:eastAsia="IBM Plex Sans" w:hAnsi="IBM Plex Sans"/>
          <w:color w:val="1A1A1A"/>
          <w:sz w:val="21"/>
          <w:szCs w:val="21"/>
        </w:rPr>
        <w:t xml:space="preserve">The scope of work applicable to an engagement is defined exclusively by the accepted project quotation. Standard categories of work that may form part of a quotation include UI/UX design, responsive development, product catalogue implementation, shopping cart functionality, payment gateway integration, administrative dashboard development, WhatsApp integration, contact form implementation, deployment, quality assurance testing, and foundational SEO setup. Any functionality not expressly identified in the accepted quotation is deemed outside the scope of work and will be handled in accordance with Section 10.</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7.  </w:t>
      </w:r>
      <w:r>
        <w:rPr>
          <w:rFonts w:ascii="IBM Plex Sans" w:cs="IBM Plex Sans" w:eastAsia="IBM Plex Sans" w:hAnsi="IBM Plex Sans"/>
          <w:b/>
          <w:bCs/>
          <w:color w:val="1A1A1A"/>
          <w:sz w:val="26"/>
          <w:szCs w:val="26"/>
        </w:rPr>
        <w:t xml:space="preserve">Client Responsibilities</w:t>
      </w:r>
    </w:p>
    <w:p>
      <w:pPr>
        <w:spacing w:after="160" w:line="288"/>
        <w:jc w:val="both"/>
      </w:pPr>
      <w:r>
        <w:rPr>
          <w:rFonts w:ascii="IBM Plex Sans" w:cs="IBM Plex Sans" w:eastAsia="IBM Plex Sans" w:hAnsi="IBM Plex Sans"/>
          <w:color w:val="1A1A1A"/>
          <w:sz w:val="21"/>
          <w:szCs w:val="21"/>
        </w:rPr>
        <w:t xml:space="preserve">Timely delivery is contingent upon the client providing the following in a complete and timely manner:</w:t>
      </w:r>
    </w:p>
    <w:p>
      <w:pPr>
        <w:spacing w:after="90" w:line="276"/>
        <w:ind w:left="403"/>
      </w:pPr>
      <w:r>
        <w:rPr>
          <w:rFonts w:ascii="IBM Plex Sans" w:cs="IBM Plex Sans" w:eastAsia="IBM Plex Sans" w:hAnsi="IBM Plex Sans"/>
          <w:color w:val="6D3FC0"/>
          <w:sz w:val="21"/>
          <w:szCs w:val="21"/>
        </w:rPr>
        <w:t xml:space="preserve">— </w:t>
      </w:r>
      <w:r>
        <w:rPr>
          <w:rFonts w:ascii="IBM Plex Sans" w:cs="IBM Plex Sans" w:eastAsia="IBM Plex Sans" w:hAnsi="IBM Plex Sans"/>
          <w:color w:val="1A1A1A"/>
          <w:sz w:val="21"/>
          <w:szCs w:val="21"/>
        </w:rPr>
        <w:t xml:space="preserve">Branding assets, including logos, brand colours, and typography guidelines.</w:t>
      </w:r>
    </w:p>
    <w:p>
      <w:pPr>
        <w:spacing w:after="90" w:line="276"/>
        <w:ind w:left="403"/>
      </w:pPr>
      <w:r>
        <w:rPr>
          <w:rFonts w:ascii="IBM Plex Sans" w:cs="IBM Plex Sans" w:eastAsia="IBM Plex Sans" w:hAnsi="IBM Plex Sans"/>
          <w:color w:val="6D3FC0"/>
          <w:sz w:val="21"/>
          <w:szCs w:val="21"/>
        </w:rPr>
        <w:t xml:space="preserve">— </w:t>
      </w:r>
      <w:r>
        <w:rPr>
          <w:rFonts w:ascii="IBM Plex Sans" w:cs="IBM Plex Sans" w:eastAsia="IBM Plex Sans" w:hAnsi="IBM Plex Sans"/>
          <w:color w:val="1A1A1A"/>
          <w:sz w:val="21"/>
          <w:szCs w:val="21"/>
        </w:rPr>
        <w:t xml:space="preserve">Website content, including text, product information, and imagery.</w:t>
      </w:r>
    </w:p>
    <w:p>
      <w:pPr>
        <w:spacing w:after="90" w:line="276"/>
        <w:ind w:left="403"/>
      </w:pPr>
      <w:r>
        <w:rPr>
          <w:rFonts w:ascii="IBM Plex Sans" w:cs="IBM Plex Sans" w:eastAsia="IBM Plex Sans" w:hAnsi="IBM Plex Sans"/>
          <w:color w:val="6D3FC0"/>
          <w:sz w:val="21"/>
          <w:szCs w:val="21"/>
        </w:rPr>
        <w:t xml:space="preserve">— </w:t>
      </w:r>
      <w:r>
        <w:rPr>
          <w:rFonts w:ascii="IBM Plex Sans" w:cs="IBM Plex Sans" w:eastAsia="IBM Plex Sans" w:hAnsi="IBM Plex Sans"/>
          <w:color w:val="1A1A1A"/>
          <w:sz w:val="21"/>
          <w:szCs w:val="21"/>
        </w:rPr>
        <w:t xml:space="preserve">Domain and hosting credentials, where applicable to the engagement.</w:t>
      </w:r>
    </w:p>
    <w:p>
      <w:pPr>
        <w:spacing w:after="90" w:line="276"/>
        <w:ind w:left="403"/>
      </w:pPr>
      <w:r>
        <w:rPr>
          <w:rFonts w:ascii="IBM Plex Sans" w:cs="IBM Plex Sans" w:eastAsia="IBM Plex Sans" w:hAnsi="IBM Plex Sans"/>
          <w:color w:val="6D3FC0"/>
          <w:sz w:val="21"/>
          <w:szCs w:val="21"/>
        </w:rPr>
        <w:t xml:space="preserve">— </w:t>
      </w:r>
      <w:r>
        <w:rPr>
          <w:rFonts w:ascii="IBM Plex Sans" w:cs="IBM Plex Sans" w:eastAsia="IBM Plex Sans" w:hAnsi="IBM Plex Sans"/>
          <w:color w:val="1A1A1A"/>
          <w:sz w:val="21"/>
          <w:szCs w:val="21"/>
        </w:rPr>
        <w:t xml:space="preserve">Payment gateway know-your-customer (KYC) documentation, where applicable.</w:t>
      </w:r>
    </w:p>
    <w:p>
      <w:pPr>
        <w:spacing w:after="90" w:line="276"/>
        <w:ind w:left="403"/>
      </w:pPr>
      <w:r>
        <w:rPr>
          <w:rFonts w:ascii="IBM Plex Sans" w:cs="IBM Plex Sans" w:eastAsia="IBM Plex Sans" w:hAnsi="IBM Plex Sans"/>
          <w:color w:val="6D3FC0"/>
          <w:sz w:val="21"/>
          <w:szCs w:val="21"/>
        </w:rPr>
        <w:t xml:space="preserve">— </w:t>
      </w:r>
      <w:r>
        <w:rPr>
          <w:rFonts w:ascii="IBM Plex Sans" w:cs="IBM Plex Sans" w:eastAsia="IBM Plex Sans" w:hAnsi="IBM Plex Sans"/>
          <w:color w:val="1A1A1A"/>
          <w:sz w:val="21"/>
          <w:szCs w:val="21"/>
        </w:rPr>
        <w:t xml:space="preserve">Timely review, feedback, and written approval at each milestone.</w:t>
      </w:r>
    </w:p>
    <w:p>
      <w:pPr>
        <w:spacing w:after="160" w:line="288"/>
        <w:jc w:val="both"/>
      </w:pPr>
      <w:r>
        <w:rPr>
          <w:rFonts w:ascii="IBM Plex Sans" w:cs="IBM Plex Sans" w:eastAsia="IBM Plex Sans" w:hAnsi="IBM Plex Sans"/>
          <w:color w:val="1A1A1A"/>
          <w:sz w:val="21"/>
          <w:szCs w:val="21"/>
        </w:rPr>
        <w:t xml:space="preserve">Delays in providing the above may result in a corresponding extension of the project timeline, and the developer shall not be held responsible for any resulting delay.</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8.  </w:t>
      </w:r>
      <w:r>
        <w:rPr>
          <w:rFonts w:ascii="IBM Plex Sans" w:cs="IBM Plex Sans" w:eastAsia="IBM Plex Sans" w:hAnsi="IBM Plex Sans"/>
          <w:b/>
          <w:bCs/>
          <w:color w:val="1A1A1A"/>
          <w:sz w:val="26"/>
          <w:szCs w:val="26"/>
        </w:rPr>
        <w:t xml:space="preserve">Our Responsibilities</w:t>
      </w:r>
    </w:p>
    <w:p>
      <w:pPr>
        <w:spacing w:after="160" w:line="288"/>
        <w:jc w:val="both"/>
      </w:pPr>
      <w:r>
        <w:rPr>
          <w:rFonts w:ascii="IBM Plex Sans" w:cs="IBM Plex Sans" w:eastAsia="IBM Plex Sans" w:hAnsi="IBM Plex Sans"/>
          <w:color w:val="1A1A1A"/>
          <w:sz w:val="21"/>
          <w:szCs w:val="21"/>
        </w:rPr>
        <w:t xml:space="preserve">The developer commits to delivering the functionality agreed in the accepted quotation, maintaining a professional standard of code quality, following generally accepted industry practices, communicating in a timely and professional manner, safeguarding confidential information in accordance with Section 15, and delivering within the agreed timeline, subject to timely client cooperation as described in Section 7.</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9.  </w:t>
      </w:r>
      <w:r>
        <w:rPr>
          <w:rFonts w:ascii="IBM Plex Sans" w:cs="IBM Plex Sans" w:eastAsia="IBM Plex Sans" w:hAnsi="IBM Plex Sans"/>
          <w:b/>
          <w:bCs/>
          <w:color w:val="1A1A1A"/>
          <w:sz w:val="26"/>
          <w:szCs w:val="26"/>
        </w:rPr>
        <w:t xml:space="preserve">Revision Policy</w:t>
      </w:r>
    </w:p>
    <w:p>
      <w:pPr>
        <w:spacing w:after="160" w:line="288"/>
        <w:jc w:val="both"/>
      </w:pPr>
      <w:r>
        <w:rPr>
          <w:rFonts w:ascii="IBM Plex Sans" w:cs="IBM Plex Sans" w:eastAsia="IBM Plex Sans" w:hAnsi="IBM Plex Sans"/>
          <w:color w:val="1A1A1A"/>
          <w:sz w:val="21"/>
          <w:szCs w:val="21"/>
        </w:rPr>
        <w:t xml:space="preserve">Each approved milestone includes two (2) structured rounds of revisions. Revisions within these rounds that fall within the originally agreed scope are provided at no additional cost. Requests that extend beyond the agreed scope, introduce new functionality, or require substantial redesign of previously approved work will be treated as a change request under Section 10 and may incur additional commercial charges.</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10.  </w:t>
      </w:r>
      <w:r>
        <w:rPr>
          <w:rFonts w:ascii="IBM Plex Sans" w:cs="IBM Plex Sans" w:eastAsia="IBM Plex Sans" w:hAnsi="IBM Plex Sans"/>
          <w:b/>
          <w:bCs/>
          <w:color w:val="1A1A1A"/>
          <w:sz w:val="26"/>
          <w:szCs w:val="26"/>
        </w:rPr>
        <w:t xml:space="preserve">Change Request Policy</w:t>
      </w:r>
    </w:p>
    <w:p>
      <w:pPr>
        <w:spacing w:after="160" w:line="288"/>
        <w:jc w:val="both"/>
      </w:pPr>
      <w:r>
        <w:rPr>
          <w:rFonts w:ascii="IBM Plex Sans" w:cs="IBM Plex Sans" w:eastAsia="IBM Plex Sans" w:hAnsi="IBM Plex Sans"/>
          <w:color w:val="1A1A1A"/>
          <w:sz w:val="21"/>
          <w:szCs w:val="21"/>
        </w:rPr>
        <w:t xml:space="preserve">Any request for a new feature, redesign, or enhancement made after a milestone has been approved shall be treated as a formal change request. Change requests are evaluated for their impact on cost and delivery timeline, and a revised estimate will be shared with the client for written approval before work proceeds. No change request is undertaken without such approval.</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11.  </w:t>
      </w:r>
      <w:r>
        <w:rPr>
          <w:rFonts w:ascii="IBM Plex Sans" w:cs="IBM Plex Sans" w:eastAsia="IBM Plex Sans" w:hAnsi="IBM Plex Sans"/>
          <w:b/>
          <w:bCs/>
          <w:color w:val="1A1A1A"/>
          <w:sz w:val="26"/>
          <w:szCs w:val="26"/>
        </w:rPr>
        <w:t xml:space="preserve">Domain &amp; Hosting Policy</w:t>
      </w:r>
    </w:p>
    <w:p>
      <w:pPr>
        <w:spacing w:after="160" w:line="288"/>
        <w:jc w:val="both"/>
      </w:pPr>
      <w:r>
        <w:rPr>
          <w:rFonts w:ascii="IBM Plex Sans" w:cs="IBM Plex Sans" w:eastAsia="IBM Plex Sans" w:hAnsi="IBM Plex Sans"/>
          <w:color w:val="1A1A1A"/>
          <w:sz w:val="21"/>
          <w:szCs w:val="21"/>
        </w:rPr>
        <w:t xml:space="preserve">Domains and hosting accounts remain the property of the client at all times unless expressly agreed otherwise in writing. Where the developer procures a domain or hosting plan on the client's behalf, ownership and access credentials are transferred to the client upon reimbursement of the associated cost. The performance, uptime, and reliability of third-party hosting providers are outside the developer's control and are governed by the hosting provider's own terms of service.</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12.  </w:t>
      </w:r>
      <w:r>
        <w:rPr>
          <w:rFonts w:ascii="IBM Plex Sans" w:cs="IBM Plex Sans" w:eastAsia="IBM Plex Sans" w:hAnsi="IBM Plex Sans"/>
          <w:b/>
          <w:bCs/>
          <w:color w:val="1A1A1A"/>
          <w:sz w:val="26"/>
          <w:szCs w:val="26"/>
        </w:rPr>
        <w:t xml:space="preserve">Payment Gateway Policy</w:t>
      </w:r>
    </w:p>
    <w:p>
      <w:pPr>
        <w:spacing w:after="160" w:line="288"/>
        <w:jc w:val="both"/>
      </w:pPr>
      <w:r>
        <w:rPr>
          <w:rFonts w:ascii="IBM Plex Sans" w:cs="IBM Plex Sans" w:eastAsia="IBM Plex Sans" w:hAnsi="IBM Plex Sans"/>
          <w:color w:val="1A1A1A"/>
          <w:sz w:val="21"/>
          <w:szCs w:val="21"/>
        </w:rPr>
        <w:t xml:space="preserve">Payment gateway accounts (including, without limitation, Razorpay, Cashfree, PhonePe, and Stripe) must be registered in the client's legal business name. The client is solely responsible for completing KYC verification, ensuring regulatory compliance, and bearing applicable transaction charges levied by the payment gateway provider. The developer will provide technical assistance with integration but has no control over, and accepts no responsibility for, the payment gateway provider's approval decisions or service availability.</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13.  </w:t>
      </w:r>
      <w:r>
        <w:rPr>
          <w:rFonts w:ascii="IBM Plex Sans" w:cs="IBM Plex Sans" w:eastAsia="IBM Plex Sans" w:hAnsi="IBM Plex Sans"/>
          <w:b/>
          <w:bCs/>
          <w:color w:val="1A1A1A"/>
          <w:sz w:val="26"/>
          <w:szCs w:val="26"/>
        </w:rPr>
        <w:t xml:space="preserve">Third-Party Services</w:t>
      </w:r>
    </w:p>
    <w:p>
      <w:pPr>
        <w:spacing w:after="160" w:line="288"/>
        <w:jc w:val="both"/>
      </w:pPr>
      <w:r>
        <w:rPr>
          <w:rFonts w:ascii="IBM Plex Sans" w:cs="IBM Plex Sans" w:eastAsia="IBM Plex Sans" w:hAnsi="IBM Plex Sans"/>
          <w:color w:val="1A1A1A"/>
          <w:sz w:val="21"/>
          <w:szCs w:val="21"/>
        </w:rPr>
        <w:t xml:space="preserve">Certain features may depend on third-party services, including but not limited to payment gateways, shipping and logistics providers, email and SMS delivery services, mapping services, analytics platforms, and social media integrations. The availability, pricing, and policies of such third-party services are determined solely by their respective providers, and any downtime, discontinuation, or policy change on their part is outside the developer's control and does not constitute a breach of this agreement.</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14.  </w:t>
      </w:r>
      <w:r>
        <w:rPr>
          <w:rFonts w:ascii="IBM Plex Sans" w:cs="IBM Plex Sans" w:eastAsia="IBM Plex Sans" w:hAnsi="IBM Plex Sans"/>
          <w:b/>
          <w:bCs/>
          <w:color w:val="1A1A1A"/>
          <w:sz w:val="26"/>
          <w:szCs w:val="26"/>
        </w:rPr>
        <w:t xml:space="preserve">Privacy Policy</w:t>
      </w:r>
    </w:p>
    <w:p>
      <w:pPr>
        <w:spacing w:after="160" w:line="288"/>
        <w:jc w:val="both"/>
      </w:pPr>
      <w:r>
        <w:rPr>
          <w:rFonts w:ascii="IBM Plex Sans" w:cs="IBM Plex Sans" w:eastAsia="IBM Plex Sans" w:hAnsi="IBM Plex Sans"/>
          <w:color w:val="1A1A1A"/>
          <w:sz w:val="21"/>
          <w:szCs w:val="21"/>
        </w:rPr>
        <w:t xml:space="preserve">Business information, credentials, and documents shared by the client in the course of an engagement are stored securely and used exclusively for the purposes of that engagement. Such information is not shared with any third party without the client's prior consent, except where disclosure is required by applicable law. Upon written request following the conclusion of an engagement, such information will be deleted in accordance with standard data retention practices, subject to any legal or regulatory retention requirements.</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15.  </w:t>
      </w:r>
      <w:r>
        <w:rPr>
          <w:rFonts w:ascii="IBM Plex Sans" w:cs="IBM Plex Sans" w:eastAsia="IBM Plex Sans" w:hAnsi="IBM Plex Sans"/>
          <w:b/>
          <w:bCs/>
          <w:color w:val="1A1A1A"/>
          <w:sz w:val="26"/>
          <w:szCs w:val="26"/>
        </w:rPr>
        <w:t xml:space="preserve">Confidentiality (Non-Disclosure)</w:t>
      </w:r>
    </w:p>
    <w:p>
      <w:pPr>
        <w:spacing w:after="160" w:line="288"/>
        <w:jc w:val="both"/>
      </w:pPr>
      <w:r>
        <w:rPr>
          <w:rFonts w:ascii="IBM Plex Sans" w:cs="IBM Plex Sans" w:eastAsia="IBM Plex Sans" w:hAnsi="IBM Plex Sans"/>
          <w:color w:val="1A1A1A"/>
          <w:sz w:val="21"/>
          <w:szCs w:val="21"/>
        </w:rPr>
        <w:t xml:space="preserve">Both parties acknowledge that, during the course of an engagement, they may exchange confidential information, including business information, technical documentation, credentials, commercial and pricing information, source code, strategic discussions, and other proprietary material (“Confidential Information”). Each party agrees to hold the other's Confidential Information in strict confidence, to use it solely for the purposes of the engagement, and not to disclose it to any third party without the prior written consent of the disclosing party. This obligation survives the completion, termination, or expiry of the engagement.</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16.  </w:t>
      </w:r>
      <w:r>
        <w:rPr>
          <w:rFonts w:ascii="IBM Plex Sans" w:cs="IBM Plex Sans" w:eastAsia="IBM Plex Sans" w:hAnsi="IBM Plex Sans"/>
          <w:b/>
          <w:bCs/>
          <w:color w:val="1A1A1A"/>
          <w:sz w:val="26"/>
          <w:szCs w:val="26"/>
        </w:rPr>
        <w:t xml:space="preserve">Intellectual Property</w:t>
      </w:r>
    </w:p>
    <w:p>
      <w:pPr>
        <w:spacing w:after="160" w:line="288"/>
        <w:jc w:val="both"/>
      </w:pPr>
      <w:r>
        <w:rPr>
          <w:rFonts w:ascii="IBM Plex Sans" w:cs="IBM Plex Sans" w:eastAsia="IBM Plex Sans" w:hAnsi="IBM Plex Sans"/>
          <w:color w:val="1A1A1A"/>
          <w:sz w:val="21"/>
          <w:szCs w:val="21"/>
        </w:rPr>
        <w:t xml:space="preserve">Ownership of all custom-developed source code, design assets, and project deliverables transfers to the client only upon receipt of the final payment in full. Until such time, all intellectual property in the deliverables remains vested in the developer. Third-party libraries, frameworks, plugins, and assets incorporated into the deliverables remain subject to their respective licence terms and are not owned by either party. The developer retains the right to reuse general knowledge, techniques, and non-confidential methodologies developed in the course of the engagement for other projects.</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17.  </w:t>
      </w:r>
      <w:r>
        <w:rPr>
          <w:rFonts w:ascii="IBM Plex Sans" w:cs="IBM Plex Sans" w:eastAsia="IBM Plex Sans" w:hAnsi="IBM Plex Sans"/>
          <w:b/>
          <w:bCs/>
          <w:color w:val="1A1A1A"/>
          <w:sz w:val="26"/>
          <w:szCs w:val="26"/>
        </w:rPr>
        <w:t xml:space="preserve">Warranty</w:t>
      </w:r>
    </w:p>
    <w:p>
      <w:pPr>
        <w:spacing w:after="160" w:line="288"/>
        <w:jc w:val="both"/>
      </w:pPr>
      <w:r>
        <w:rPr>
          <w:rFonts w:ascii="IBM Plex Sans" w:cs="IBM Plex Sans" w:eastAsia="IBM Plex Sans" w:hAnsi="IBM Plex Sans"/>
          <w:color w:val="1A1A1A"/>
          <w:sz w:val="21"/>
          <w:szCs w:val="21"/>
        </w:rPr>
        <w:t xml:space="preserve">A warranty period of thirty (30) days from the date of deployment is provided, during which defects in the functionality delivered under the accepted quotation will be corrected at no additional cost. This warranty does not extend to new feature requests, content changes, issues arising from third-party services, or defects caused by modifications made by the client or any third party after deployment.</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18.  </w:t>
      </w:r>
      <w:r>
        <w:rPr>
          <w:rFonts w:ascii="IBM Plex Sans" w:cs="IBM Plex Sans" w:eastAsia="IBM Plex Sans" w:hAnsi="IBM Plex Sans"/>
          <w:b/>
          <w:bCs/>
          <w:color w:val="1A1A1A"/>
          <w:sz w:val="26"/>
          <w:szCs w:val="26"/>
        </w:rPr>
        <w:t xml:space="preserve">Maintenance</w:t>
      </w:r>
    </w:p>
    <w:p>
      <w:pPr>
        <w:spacing w:after="160" w:line="288"/>
        <w:jc w:val="both"/>
      </w:pPr>
      <w:r>
        <w:rPr>
          <w:rFonts w:ascii="IBM Plex Sans" w:cs="IBM Plex Sans" w:eastAsia="IBM Plex Sans" w:hAnsi="IBM Plex Sans"/>
          <w:color w:val="1A1A1A"/>
          <w:sz w:val="21"/>
          <w:szCs w:val="21"/>
        </w:rPr>
        <w:t xml:space="preserve">Ongoing maintenance, security updates, backups, monitoring, and feature enhancements beyond the warranty period are available under a separate annual maintenance contract (AMC) or support plan, the terms of which will be set out in a dedicated quotation. Maintenance plans may include priority support, scheduled updates, and provision for incremental feature additions.</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19.  </w:t>
      </w:r>
      <w:r>
        <w:rPr>
          <w:rFonts w:ascii="IBM Plex Sans" w:cs="IBM Plex Sans" w:eastAsia="IBM Plex Sans" w:hAnsi="IBM Plex Sans"/>
          <w:b/>
          <w:bCs/>
          <w:color w:val="1A1A1A"/>
          <w:sz w:val="26"/>
          <w:szCs w:val="26"/>
        </w:rPr>
        <w:t xml:space="preserve">Cancellation Policy</w:t>
      </w:r>
    </w:p>
    <w:p>
      <w:pPr>
        <w:spacing w:after="160" w:line="288"/>
        <w:jc w:val="both"/>
      </w:pPr>
      <w:r>
        <w:rPr>
          <w:rFonts w:ascii="IBM Plex Sans" w:cs="IBM Plex Sans" w:eastAsia="IBM Plex Sans" w:hAnsi="IBM Plex Sans"/>
          <w:color w:val="1A1A1A"/>
          <w:sz w:val="21"/>
          <w:szCs w:val="21"/>
        </w:rPr>
        <w:t xml:space="preserve">Either party may terminate an engagement by providing written notice to the other. In the event of termination, work completed up to the effective date of termination will be billed in accordance with the milestone structure set out in Section 5. Advance payments are, in general, non-refundable once work has commenced, save as set out in Section 20.</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20.  </w:t>
      </w:r>
      <w:r>
        <w:rPr>
          <w:rFonts w:ascii="IBM Plex Sans" w:cs="IBM Plex Sans" w:eastAsia="IBM Plex Sans" w:hAnsi="IBM Plex Sans"/>
          <w:b/>
          <w:bCs/>
          <w:color w:val="1A1A1A"/>
          <w:sz w:val="26"/>
          <w:szCs w:val="26"/>
        </w:rPr>
        <w:t xml:space="preserve">Refund Policy</w:t>
      </w:r>
    </w:p>
    <w:p>
      <w:pPr>
        <w:spacing w:after="160" w:line="288"/>
        <w:jc w:val="both"/>
      </w:pPr>
      <w:r>
        <w:rPr>
          <w:rFonts w:ascii="IBM Plex Sans" w:cs="IBM Plex Sans" w:eastAsia="IBM Plex Sans" w:hAnsi="IBM Plex Sans"/>
          <w:color w:val="1A1A1A"/>
          <w:sz w:val="21"/>
          <w:szCs w:val="21"/>
        </w:rPr>
        <w:t xml:space="preserve">Refund requests are assessed on a case-by-case basis, having regard to the stage of the engagement and the work completed. Costs already incurred for completed work, third-party purchases (including domains, hosting, and licences procured on the client's behalf), and custom development undertaken prior to the refund request are generally non-refundable.</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21.  </w:t>
      </w:r>
      <w:r>
        <w:rPr>
          <w:rFonts w:ascii="IBM Plex Sans" w:cs="IBM Plex Sans" w:eastAsia="IBM Plex Sans" w:hAnsi="IBM Plex Sans"/>
          <w:b/>
          <w:bCs/>
          <w:color w:val="1A1A1A"/>
          <w:sz w:val="26"/>
          <w:szCs w:val="26"/>
        </w:rPr>
        <w:t xml:space="preserve">Limitation of Liability</w:t>
      </w:r>
    </w:p>
    <w:p>
      <w:pPr>
        <w:spacing w:after="160" w:line="288"/>
        <w:jc w:val="both"/>
      </w:pPr>
      <w:r>
        <w:rPr>
          <w:rFonts w:ascii="IBM Plex Sans" w:cs="IBM Plex Sans" w:eastAsia="IBM Plex Sans" w:hAnsi="IBM Plex Sans"/>
          <w:color w:val="1A1A1A"/>
          <w:sz w:val="21"/>
          <w:szCs w:val="21"/>
        </w:rPr>
        <w:t xml:space="preserve">To the fullest extent permitted by applicable law, the developer's liability arising out of or in connection with an engagement shall not extend to indirect, incidental, or consequential losses, including loss of profits, loss of business, or loss of data. The developer's liability shall not extend to losses arising from third-party service failures, or from content, credentials, or instructions provided by the client. In any event, the developer's aggregate liability in connection with an engagement shall not exceed the total fees paid by the client for that engagement.</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22.  </w:t>
      </w:r>
      <w:r>
        <w:rPr>
          <w:rFonts w:ascii="IBM Plex Sans" w:cs="IBM Plex Sans" w:eastAsia="IBM Plex Sans" w:hAnsi="IBM Plex Sans"/>
          <w:b/>
          <w:bCs/>
          <w:color w:val="1A1A1A"/>
          <w:sz w:val="26"/>
          <w:szCs w:val="26"/>
        </w:rPr>
        <w:t xml:space="preserve">Force Majeure</w:t>
      </w:r>
    </w:p>
    <w:p>
      <w:pPr>
        <w:spacing w:after="160" w:line="288"/>
        <w:jc w:val="both"/>
      </w:pPr>
      <w:r>
        <w:rPr>
          <w:rFonts w:ascii="IBM Plex Sans" w:cs="IBM Plex Sans" w:eastAsia="IBM Plex Sans" w:hAnsi="IBM Plex Sans"/>
          <w:color w:val="1A1A1A"/>
          <w:sz w:val="21"/>
          <w:szCs w:val="21"/>
        </w:rPr>
        <w:t xml:space="preserve">Neither party shall be liable for any delay or failure to perform its obligations arising from causes beyond its reasonable control, including but not limited to natural disasters, government action or restriction, internet or telecommunications outages, hosting provider failures, cyber incidents, or widespread service disruptions. The affected party shall notify the other as soon as reasonably practicable and shall resume performance promptly once the relevant cause has been resolved.</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23.  </w:t>
      </w:r>
      <w:r>
        <w:rPr>
          <w:rFonts w:ascii="IBM Plex Sans" w:cs="IBM Plex Sans" w:eastAsia="IBM Plex Sans" w:hAnsi="IBM Plex Sans"/>
          <w:b/>
          <w:bCs/>
          <w:color w:val="1A1A1A"/>
          <w:sz w:val="26"/>
          <w:szCs w:val="26"/>
        </w:rPr>
        <w:t xml:space="preserve">Disclaimers</w:t>
      </w:r>
    </w:p>
    <w:p>
      <w:pPr>
        <w:spacing w:after="160" w:line="288"/>
        <w:jc w:val="both"/>
      </w:pPr>
      <w:r>
        <w:rPr>
          <w:rFonts w:ascii="IBM Plex Sans" w:cs="IBM Plex Sans" w:eastAsia="IBM Plex Sans" w:hAnsi="IBM Plex Sans"/>
          <w:color w:val="1A1A1A"/>
          <w:sz w:val="21"/>
          <w:szCs w:val="21"/>
        </w:rPr>
        <w:t xml:space="preserve">The developer does not guarantee specific search engine rankings, indexing timelines, hosting uptime, third-party API availability, browser or operating system updates, email deliverability, or the uninterrupted operation of any third-party payment gateway. Such matters are governed by the policies and performance of the relevant third-party provider and are outside the developer's control.</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24.  </w:t>
      </w:r>
      <w:r>
        <w:rPr>
          <w:rFonts w:ascii="IBM Plex Sans" w:cs="IBM Plex Sans" w:eastAsia="IBM Plex Sans" w:hAnsi="IBM Plex Sans"/>
          <w:b/>
          <w:bCs/>
          <w:color w:val="1A1A1A"/>
          <w:sz w:val="26"/>
          <w:szCs w:val="26"/>
        </w:rPr>
        <w:t xml:space="preserve">Governing Law</w:t>
      </w:r>
    </w:p>
    <w:p>
      <w:pPr>
        <w:spacing w:after="160" w:line="288"/>
        <w:jc w:val="both"/>
      </w:pPr>
      <w:r>
        <w:rPr>
          <w:rFonts w:ascii="IBM Plex Sans" w:cs="IBM Plex Sans" w:eastAsia="IBM Plex Sans" w:hAnsi="IBM Plex Sans"/>
          <w:color w:val="1A1A1A"/>
          <w:sz w:val="21"/>
          <w:szCs w:val="21"/>
        </w:rPr>
        <w:t xml:space="preserve">This document and all engagements governed by it shall be construed in accordance with the laws of India. Any dispute arising out of or in connection with an engagement shall be subject to the exclusive jurisdiction of the courts having competent authority over the developer's place of business.</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25.  </w:t>
      </w:r>
      <w:r>
        <w:rPr>
          <w:rFonts w:ascii="IBM Plex Sans" w:cs="IBM Plex Sans" w:eastAsia="IBM Plex Sans" w:hAnsi="IBM Plex Sans"/>
          <w:b/>
          <w:bCs/>
          <w:color w:val="1A1A1A"/>
          <w:sz w:val="26"/>
          <w:szCs w:val="26"/>
        </w:rPr>
        <w:t xml:space="preserve">Acceptance of Terms</w:t>
      </w:r>
    </w:p>
    <w:p>
      <w:pPr>
        <w:spacing w:after="160" w:line="288"/>
        <w:jc w:val="both"/>
      </w:pPr>
      <w:r>
        <w:rPr>
          <w:rFonts w:ascii="IBM Plex Sans" w:cs="IBM Plex Sans" w:eastAsia="IBM Plex Sans" w:hAnsi="IBM Plex Sans"/>
          <w:color w:val="1A1A1A"/>
          <w:sz w:val="21"/>
          <w:szCs w:val="21"/>
        </w:rPr>
        <w:t xml:space="preserve">By requesting services, accepting a quotation, or making an advance payment, the client acknowledges that they have read and agree to be bound by the terms set out in this document, together with the terms of the applicable project-specific quotation. Where any conflict arises between this document and a signed project-specific agreement, the terms of the signed agreement shall prevail.</w:t>
      </w:r>
    </w:p>
    <w:p>
      <w:pPr>
        <w:pStyle w:val="Heading1"/>
        <w:pBdr>
          <w:bottom w:val="single" w:color="6D3FC0" w:sz="6" w:space="8"/>
        </w:pBdr>
        <w:spacing w:after="200" w:before="520"/>
      </w:pPr>
      <w:r>
        <w:rPr>
          <w:rFonts w:ascii="IBM Plex Sans" w:cs="IBM Plex Sans" w:eastAsia="IBM Plex Sans" w:hAnsi="IBM Plex Sans"/>
          <w:b/>
          <w:bCs/>
          <w:color w:val="6D3FC0"/>
          <w:sz w:val="26"/>
          <w:szCs w:val="26"/>
        </w:rPr>
        <w:t xml:space="preserve">26.  </w:t>
      </w:r>
      <w:r>
        <w:rPr>
          <w:rFonts w:ascii="IBM Plex Sans" w:cs="IBM Plex Sans" w:eastAsia="IBM Plex Sans" w:hAnsi="IBM Plex Sans"/>
          <w:b/>
          <w:bCs/>
          <w:color w:val="1A1A1A"/>
          <w:sz w:val="26"/>
          <w:szCs w:val="26"/>
        </w:rPr>
        <w:t xml:space="preserve">Contact &amp; Support</w:t>
      </w:r>
    </w:p>
    <w:p>
      <w:pPr>
        <w:spacing w:after="160" w:line="288"/>
        <w:jc w:val="both"/>
      </w:pPr>
      <w:r>
        <w:rPr>
          <w:rFonts w:ascii="IBM Plex Sans" w:cs="IBM Plex Sans" w:eastAsia="IBM Plex Sans" w:hAnsi="IBM Plex Sans"/>
          <w:color w:val="1A1A1A"/>
          <w:sz w:val="21"/>
          <w:szCs w:val="21"/>
        </w:rPr>
        <w:t xml:space="preserve">For questions regarding these terms, an active engagement, or a maintenance plan, please refer to the contact details provided in your project quotation or correspondence.</w:t>
      </w:r>
    </w:p>
    <w:p>
      <w:pPr>
        <w:spacing w:before="400"/>
      </w:pPr>
      <w:r>
        <w:t xml:space="preserve"/>
      </w:r>
    </w:p>
    <w:p>
      <w:pPr>
        <w:pBdr>
          <w:top w:val="single" w:color="E2DCF2" w:sz="4" w:space="8"/>
        </w:pBdr>
        <w:spacing w:before="200"/>
        <w:jc w:val="center"/>
      </w:pPr>
      <w:r>
        <w:rPr>
          <w:rFonts w:ascii="IBM Plex Sans" w:cs="IBM Plex Sans" w:eastAsia="IBM Plex Sans" w:hAnsi="IBM Plex Sans"/>
          <w:i/>
          <w:iCs/>
          <w:color w:val="6B6B6B"/>
          <w:sz w:val="18"/>
          <w:szCs w:val="18"/>
        </w:rPr>
        <w:t xml:space="preserve">End of Document</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CF2" w:sz="4" w:space="6"/>
      </w:pBdr>
      <w:tabs>
        <w:tab w:val="right" w:pos="9026"/>
      </w:tabs>
    </w:pPr>
    <w:r>
      <w:rPr>
        <w:rFonts w:ascii="IBM Plex Sans" w:cs="IBM Plex Sans" w:eastAsia="IBM Plex Sans" w:hAnsi="IBM Plex Sans"/>
        <w:color w:val="6B6B6B"/>
        <w:sz w:val="16"/>
        <w:szCs w:val="16"/>
      </w:rPr>
      <w:t xml:space="preserve">Confidential  •  Version 1.0</w:t>
    </w:r>
    <w:r>
      <w:rPr>
        <w:rFonts w:ascii="IBM Plex Sans" w:cs="IBM Plex Sans" w:eastAsia="IBM Plex Sans" w:hAnsi="IBM Plex Sans"/>
        <w:sz w:val="16"/>
        <w:szCs w:val="16"/>
      </w:rPr>
      <w:t xml:space="preserve">	</w:t>
    </w:r>
    <w:r>
      <w:rPr>
        <w:rFonts w:ascii="IBM Plex Sans" w:cs="IBM Plex Sans" w:eastAsia="IBM Plex Sans" w:hAnsi="IBM Plex Sans"/>
        <w:color w:val="6B6B6B"/>
        <w:sz w:val="16"/>
        <w:szCs w:val="16"/>
      </w:rPr>
      <w:t xml:space="preserve">Page </w:t>
    </w:r>
    <w:r>
      <w:rPr>
        <w:rFonts w:ascii="IBM Plex Sans" w:cs="IBM Plex Sans" w:eastAsia="IBM Plex Sans" w:hAnsi="IBM Plex Sans"/>
        <w:color w:val="6B6B6B"/>
        <w:sz w:val="16"/>
        <w:szCs w:val="16"/>
      </w:rPr>
      <w:fldChar w:fldCharType="begin"/>
      <w:instrText xml:space="preserve">PAGE</w:instrText>
      <w:fldChar w:fldCharType="separate"/>
      <w:fldChar w:fldCharType="end"/>
    </w:r>
    <w:r>
      <w:rPr>
        <w:rFonts w:ascii="IBM Plex Sans" w:cs="IBM Plex Sans" w:eastAsia="IBM Plex Sans" w:hAnsi="IBM Plex Sans"/>
        <w:color w:val="6B6B6B"/>
        <w:sz w:val="16"/>
        <w:szCs w:val="16"/>
      </w:rPr>
      <w:t xml:space="preserve"> of </w:t>
    </w:r>
    <w:r>
      <w:rPr>
        <w:rFonts w:ascii="IBM Plex Sans" w:cs="IBM Plex Sans" w:eastAsia="IBM Plex Sans" w:hAnsi="IBM Plex Sans"/>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DCF2" w:sz="4" w:space="6"/>
      </w:pBdr>
      <w:tabs>
        <w:tab w:val="right" w:pos="9026"/>
      </w:tabs>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 cy="190500"/>
                  </a:xfrm>
                  <a:prstGeom prst="rect">
                    <a:avLst/>
                  </a:prstGeom>
                </pic:spPr>
              </pic:pic>
            </a:graphicData>
          </a:graphic>
        </wp:inline>
      </w:drawing>
    </w:r>
    <w:r>
      <w:rPr>
        <w:rFonts w:ascii="IBM Plex Sans" w:cs="IBM Plex Sans" w:eastAsia="IBM Plex Sans" w:hAnsi="IBM Plex Sans"/>
        <w:color w:val="6B6B6B"/>
        <w:sz w:val="16"/>
        <w:szCs w:val="16"/>
      </w:rPr>
      <w:t xml:space="preserve">	Terms of Service &amp; Commercial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IBM Plex Sans" w:cs="IBM Plex Sans" w:eastAsia="IBM Plex Sans" w:hAnsi="IBM Plex Sans"/>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44ea0511d6a8fd457a7bd455e6b6679f84b69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4ea0511d6a8fd457a7bd455e6b6679f84b69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2026-08-02T09:38:57.223Z</dcterms:created>
  <dcterms:modified xsi:type="dcterms:W3CDTF">2026-08-02T09:38:57.223Z</dcterms:modified>
</cp:coreProperties>
</file>

<file path=docProps/custom.xml><?xml version="1.0" encoding="utf-8"?>
<Properties xmlns="http://schemas.openxmlformats.org/officeDocument/2006/custom-properties" xmlns:vt="http://schemas.openxmlformats.org/officeDocument/2006/docPropsVTypes"/>
</file>