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A488" w14:textId="77777777" w:rsidR="005F57CB" w:rsidRPr="005F57CB" w:rsidRDefault="005F57CB" w:rsidP="00433D79">
      <w:pPr>
        <w:jc w:val="both"/>
        <w:rPr>
          <w:rFonts w:ascii="Times New Roman" w:hAnsi="Times New Roman" w:cs="Times New Roman"/>
          <w:b/>
          <w:bCs/>
        </w:rPr>
      </w:pPr>
      <w:r w:rsidRPr="005F57CB">
        <w:rPr>
          <w:rFonts w:ascii="Times New Roman" w:hAnsi="Times New Roman" w:cs="Times New Roman"/>
          <w:b/>
          <w:bCs/>
        </w:rPr>
        <w:t>CONTENT STRATEGY MEMORANDUM</w:t>
      </w:r>
    </w:p>
    <w:p w14:paraId="509AC37B" w14:textId="77777777" w:rsidR="005F57CB" w:rsidRPr="005F57CB" w:rsidRDefault="005F57CB" w:rsidP="00433D79">
      <w:pPr>
        <w:numPr>
          <w:ilvl w:val="0"/>
          <w:numId w:val="1"/>
        </w:numPr>
        <w:jc w:val="both"/>
        <w:rPr>
          <w:rFonts w:ascii="Times New Roman" w:hAnsi="Times New Roman" w:cs="Times New Roman"/>
        </w:rPr>
      </w:pPr>
      <w:r w:rsidRPr="005F57CB">
        <w:rPr>
          <w:rFonts w:ascii="Times New Roman" w:hAnsi="Times New Roman" w:cs="Times New Roman"/>
          <w:b/>
          <w:bCs/>
        </w:rPr>
        <w:t>TO:</w:t>
      </w:r>
      <w:r w:rsidRPr="005F57CB">
        <w:rPr>
          <w:rFonts w:ascii="Times New Roman" w:hAnsi="Times New Roman" w:cs="Times New Roman"/>
        </w:rPr>
        <w:t xml:space="preserve"> Content Acquisition &amp; Programming Leadership Team</w:t>
      </w:r>
    </w:p>
    <w:p w14:paraId="5C4A29DC" w14:textId="77777777" w:rsidR="005F57CB" w:rsidRPr="005F57CB" w:rsidRDefault="005F57CB" w:rsidP="00433D79">
      <w:pPr>
        <w:numPr>
          <w:ilvl w:val="0"/>
          <w:numId w:val="1"/>
        </w:numPr>
        <w:jc w:val="both"/>
        <w:rPr>
          <w:rFonts w:ascii="Times New Roman" w:hAnsi="Times New Roman" w:cs="Times New Roman"/>
        </w:rPr>
      </w:pPr>
      <w:r w:rsidRPr="005F57CB">
        <w:rPr>
          <w:rFonts w:ascii="Times New Roman" w:hAnsi="Times New Roman" w:cs="Times New Roman"/>
          <w:b/>
          <w:bCs/>
        </w:rPr>
        <w:t>FROM:</w:t>
      </w:r>
      <w:r w:rsidRPr="005F57CB">
        <w:rPr>
          <w:rFonts w:ascii="Times New Roman" w:hAnsi="Times New Roman" w:cs="Times New Roman"/>
        </w:rPr>
        <w:t xml:space="preserve"> Lead Growth &amp; Strategy Analyst</w:t>
      </w:r>
    </w:p>
    <w:p w14:paraId="2434D782" w14:textId="77777777" w:rsidR="005F57CB" w:rsidRPr="005F57CB" w:rsidRDefault="005F57CB" w:rsidP="00433D79">
      <w:pPr>
        <w:numPr>
          <w:ilvl w:val="0"/>
          <w:numId w:val="1"/>
        </w:numPr>
        <w:jc w:val="both"/>
        <w:rPr>
          <w:rFonts w:ascii="Times New Roman" w:hAnsi="Times New Roman" w:cs="Times New Roman"/>
        </w:rPr>
      </w:pPr>
      <w:r w:rsidRPr="005F57CB">
        <w:rPr>
          <w:rFonts w:ascii="Times New Roman" w:hAnsi="Times New Roman" w:cs="Times New Roman"/>
          <w:b/>
          <w:bCs/>
        </w:rPr>
        <w:t>DATE:</w:t>
      </w:r>
      <w:r w:rsidRPr="005F57CB">
        <w:rPr>
          <w:rFonts w:ascii="Times New Roman" w:hAnsi="Times New Roman" w:cs="Times New Roman"/>
        </w:rPr>
        <w:t xml:space="preserve"> October 12, 2026</w:t>
      </w:r>
    </w:p>
    <w:p w14:paraId="1A3C5000" w14:textId="77777777" w:rsidR="005F57CB" w:rsidRPr="005F57CB" w:rsidRDefault="005F57CB" w:rsidP="00433D79">
      <w:pPr>
        <w:numPr>
          <w:ilvl w:val="0"/>
          <w:numId w:val="1"/>
        </w:numPr>
        <w:jc w:val="both"/>
        <w:rPr>
          <w:rFonts w:ascii="Times New Roman" w:hAnsi="Times New Roman" w:cs="Times New Roman"/>
        </w:rPr>
      </w:pPr>
      <w:r w:rsidRPr="005F57CB">
        <w:rPr>
          <w:rFonts w:ascii="Times New Roman" w:hAnsi="Times New Roman" w:cs="Times New Roman"/>
          <w:b/>
          <w:bCs/>
        </w:rPr>
        <w:t>SUBJECT:</w:t>
      </w:r>
      <w:r w:rsidRPr="005F57CB">
        <w:rPr>
          <w:rFonts w:ascii="Times New Roman" w:hAnsi="Times New Roman" w:cs="Times New Roman"/>
        </w:rPr>
        <w:t xml:space="preserve"> OTT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Portfolio Analysis &amp; Data-Driven Greenlight Recommendations</w:t>
      </w:r>
    </w:p>
    <w:p w14:paraId="16D5C534" w14:textId="2DB1D170" w:rsidR="005F57CB" w:rsidRPr="005F57CB" w:rsidRDefault="005F57CB" w:rsidP="00433D79">
      <w:pPr>
        <w:jc w:val="both"/>
        <w:rPr>
          <w:rFonts w:ascii="Times New Roman" w:hAnsi="Times New Roman" w:cs="Times New Roman"/>
          <w:b/>
          <w:bCs/>
        </w:rPr>
      </w:pPr>
      <w:r w:rsidRPr="005F57CB">
        <w:rPr>
          <w:rFonts w:ascii="Times New Roman" w:hAnsi="Times New Roman" w:cs="Times New Roman"/>
          <w:b/>
          <w:bCs/>
        </w:rPr>
        <w:t>1.  Summary</w:t>
      </w:r>
    </w:p>
    <w:p w14:paraId="21FB0E05" w14:textId="77777777" w:rsidR="005F57CB" w:rsidRPr="005F57CB" w:rsidRDefault="005F57CB" w:rsidP="00433D79">
      <w:pPr>
        <w:jc w:val="both"/>
        <w:rPr>
          <w:rFonts w:ascii="Times New Roman" w:hAnsi="Times New Roman" w:cs="Times New Roman"/>
        </w:rPr>
      </w:pPr>
      <w:r w:rsidRPr="005F57CB">
        <w:rPr>
          <w:rFonts w:ascii="Times New Roman" w:hAnsi="Times New Roman" w:cs="Times New Roman"/>
        </w:rPr>
        <w:t xml:space="preserve">An exploratory data analysis of our streaming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performance reveals critical shifts in content mix dynamics, format retention, and regional supply distribution. To optimize subscriber acquisition and reduce churn, our content strategy must pivot away from sheer volume accumulation and move toward intentional, high-retention format planning. This memorandum outlines three actionable recommendations for upcoming greenlight cycles.</w:t>
      </w:r>
    </w:p>
    <w:p w14:paraId="37559D26" w14:textId="1D0E73C1" w:rsidR="005F57CB" w:rsidRPr="005F57CB" w:rsidRDefault="005F57CB" w:rsidP="00433D79">
      <w:pPr>
        <w:jc w:val="both"/>
        <w:rPr>
          <w:rFonts w:ascii="Times New Roman" w:hAnsi="Times New Roman" w:cs="Times New Roman"/>
          <w:b/>
          <w:bCs/>
        </w:rPr>
      </w:pPr>
      <w:r w:rsidRPr="005F57CB">
        <w:rPr>
          <w:rFonts w:ascii="Times New Roman" w:hAnsi="Times New Roman" w:cs="Times New Roman"/>
          <w:b/>
          <w:bCs/>
        </w:rPr>
        <w:t xml:space="preserve">2. Key Findings </w:t>
      </w:r>
      <w:proofErr w:type="gramStart"/>
      <w:r w:rsidRPr="005F57CB">
        <w:rPr>
          <w:rFonts w:ascii="Times New Roman" w:hAnsi="Times New Roman" w:cs="Times New Roman"/>
          <w:b/>
          <w:bCs/>
        </w:rPr>
        <w:t>&amp;  Insights</w:t>
      </w:r>
      <w:proofErr w:type="gramEnd"/>
    </w:p>
    <w:p w14:paraId="6A7A91A5" w14:textId="77777777" w:rsidR="005F57CB" w:rsidRPr="005F57CB" w:rsidRDefault="005F57CB" w:rsidP="00433D79">
      <w:pPr>
        <w:numPr>
          <w:ilvl w:val="0"/>
          <w:numId w:val="2"/>
        </w:numPr>
        <w:jc w:val="both"/>
        <w:rPr>
          <w:rFonts w:ascii="Times New Roman" w:hAnsi="Times New Roman" w:cs="Times New Roman"/>
        </w:rPr>
      </w:pPr>
      <w:r w:rsidRPr="005F57CB">
        <w:rPr>
          <w:rFonts w:ascii="Times New Roman" w:hAnsi="Times New Roman" w:cs="Times New Roman"/>
          <w:b/>
          <w:bCs/>
        </w:rPr>
        <w:t>Insight 1: Shift Acquisition Capital Toward Multi-Season TV Series</w:t>
      </w:r>
    </w:p>
    <w:p w14:paraId="7B3254C8"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 xml:space="preserve">Data Finding: Standalone feature films currently dominate overall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volume (accounting for over 65% of total titles), yet episodic TV content has demonstrated stronger viewer engagement and platform retention patterns since 2018.</w:t>
      </w:r>
    </w:p>
    <w:p w14:paraId="54EB87CC"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Actionable Recommendation: Reallocate 20% of the indie film acquisition budget toward multi-season episodic content. Securing 3-to-4 season commitments for high-demand genres directly improves long-term subscriber lifetime value (LTV).</w:t>
      </w:r>
    </w:p>
    <w:p w14:paraId="6AC582C9" w14:textId="77777777" w:rsidR="005F57CB" w:rsidRPr="005F57CB" w:rsidRDefault="005F57CB" w:rsidP="00433D79">
      <w:pPr>
        <w:numPr>
          <w:ilvl w:val="0"/>
          <w:numId w:val="2"/>
        </w:numPr>
        <w:jc w:val="both"/>
        <w:rPr>
          <w:rFonts w:ascii="Times New Roman" w:hAnsi="Times New Roman" w:cs="Times New Roman"/>
        </w:rPr>
      </w:pPr>
      <w:r w:rsidRPr="005F57CB">
        <w:rPr>
          <w:rFonts w:ascii="Times New Roman" w:hAnsi="Times New Roman" w:cs="Times New Roman"/>
          <w:b/>
          <w:bCs/>
        </w:rPr>
        <w:t>Insight 2: Diversify Geographic Sourcing Beyond Western Markets</w:t>
      </w:r>
    </w:p>
    <w:p w14:paraId="36374584"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Data Finding: Over half of total platform titles originate from traditional Western markets, leaving high-growth international regions underrepresented relative to their active user base expansion.</w:t>
      </w:r>
    </w:p>
    <w:p w14:paraId="0172B365"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 xml:space="preserve">Actionable Recommendation: Accelerate regional licensing and localized co-productions in high-density growth corridors (such as South Asia and East Asia) to ensure the content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accurately reflects local demographic consumption habits.</w:t>
      </w:r>
    </w:p>
    <w:p w14:paraId="2858E663" w14:textId="77777777" w:rsidR="005F57CB" w:rsidRPr="005F57CB" w:rsidRDefault="005F57CB" w:rsidP="00433D79">
      <w:pPr>
        <w:numPr>
          <w:ilvl w:val="0"/>
          <w:numId w:val="2"/>
        </w:numPr>
        <w:jc w:val="both"/>
        <w:rPr>
          <w:rFonts w:ascii="Times New Roman" w:hAnsi="Times New Roman" w:cs="Times New Roman"/>
        </w:rPr>
      </w:pPr>
      <w:r w:rsidRPr="005F57CB">
        <w:rPr>
          <w:rFonts w:ascii="Times New Roman" w:hAnsi="Times New Roman" w:cs="Times New Roman"/>
          <w:b/>
          <w:bCs/>
        </w:rPr>
        <w:t>Insight 3: Standardize Original Feature Runtimes to Optimal Windows</w:t>
      </w:r>
    </w:p>
    <w:p w14:paraId="758B1C62"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 xml:space="preserve">Data Finding: Movie runtime distributions cluster heavily around a median length of 95 minutes, with a sharp drop-off in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volume for feature lengths exceeding 120 minutes.</w:t>
      </w:r>
    </w:p>
    <w:p w14:paraId="74CCDEB0" w14:textId="77777777" w:rsidR="005F57CB" w:rsidRPr="005F57CB" w:rsidRDefault="005F57CB" w:rsidP="00433D79">
      <w:pPr>
        <w:numPr>
          <w:ilvl w:val="1"/>
          <w:numId w:val="2"/>
        </w:numPr>
        <w:jc w:val="both"/>
        <w:rPr>
          <w:rFonts w:ascii="Times New Roman" w:hAnsi="Times New Roman" w:cs="Times New Roman"/>
        </w:rPr>
      </w:pPr>
      <w:r w:rsidRPr="005F57CB">
        <w:rPr>
          <w:rFonts w:ascii="Times New Roman" w:hAnsi="Times New Roman" w:cs="Times New Roman"/>
        </w:rPr>
        <w:t>Actionable Recommendation: Mandate a strict runtime guideline of 85 to 105 minutes for upcoming original movie commissions. This operational window optimizes production budgets while aligning with completion rate sweet spots.</w:t>
      </w:r>
    </w:p>
    <w:p w14:paraId="7287EA90" w14:textId="77777777" w:rsidR="005F57CB" w:rsidRPr="005F57CB" w:rsidRDefault="005F57CB" w:rsidP="00433D79">
      <w:pPr>
        <w:jc w:val="both"/>
        <w:rPr>
          <w:rFonts w:ascii="Times New Roman" w:hAnsi="Times New Roman" w:cs="Times New Roman"/>
          <w:b/>
          <w:bCs/>
        </w:rPr>
      </w:pPr>
      <w:r w:rsidRPr="005F57CB">
        <w:rPr>
          <w:rFonts w:ascii="Times New Roman" w:hAnsi="Times New Roman" w:cs="Times New Roman"/>
          <w:b/>
          <w:bCs/>
        </w:rPr>
        <w:t>3. Conclusion &amp; Next Steps</w:t>
      </w:r>
    </w:p>
    <w:p w14:paraId="5F39658C" w14:textId="6F214044" w:rsidR="0077356D" w:rsidRPr="005F57CB" w:rsidRDefault="005F57CB" w:rsidP="00433D79">
      <w:pPr>
        <w:jc w:val="both"/>
        <w:rPr>
          <w:rFonts w:ascii="Times New Roman" w:hAnsi="Times New Roman" w:cs="Times New Roman"/>
        </w:rPr>
      </w:pPr>
      <w:r w:rsidRPr="005F57CB">
        <w:rPr>
          <w:rFonts w:ascii="Times New Roman" w:hAnsi="Times New Roman" w:cs="Times New Roman"/>
        </w:rPr>
        <w:t xml:space="preserve">By adopting these targeted recommendations, our programming team can transition the content </w:t>
      </w:r>
      <w:proofErr w:type="spellStart"/>
      <w:r w:rsidRPr="005F57CB">
        <w:rPr>
          <w:rFonts w:ascii="Times New Roman" w:hAnsi="Times New Roman" w:cs="Times New Roman"/>
        </w:rPr>
        <w:t>catalog</w:t>
      </w:r>
      <w:proofErr w:type="spellEnd"/>
      <w:r w:rsidRPr="005F57CB">
        <w:rPr>
          <w:rFonts w:ascii="Times New Roman" w:hAnsi="Times New Roman" w:cs="Times New Roman"/>
        </w:rPr>
        <w:t xml:space="preserve"> from a broad inventory </w:t>
      </w:r>
      <w:r w:rsidRPr="005F57CB">
        <w:rPr>
          <w:rFonts w:ascii="Times New Roman" w:hAnsi="Times New Roman" w:cs="Times New Roman"/>
        </w:rPr>
        <w:t>tip</w:t>
      </w:r>
      <w:r w:rsidRPr="005F57CB">
        <w:rPr>
          <w:rFonts w:ascii="Times New Roman" w:hAnsi="Times New Roman" w:cs="Times New Roman"/>
        </w:rPr>
        <w:t xml:space="preserve"> into a targeted, high-retention growth asset.</w:t>
      </w:r>
    </w:p>
    <w:sectPr w:rsidR="0077356D" w:rsidRPr="005F57CB" w:rsidSect="008F7B4F">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64002"/>
    <w:multiLevelType w:val="multilevel"/>
    <w:tmpl w:val="97E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54C57"/>
    <w:multiLevelType w:val="multilevel"/>
    <w:tmpl w:val="C692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843504">
    <w:abstractNumId w:val="0"/>
  </w:num>
  <w:num w:numId="2" w16cid:durableId="67688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CB"/>
    <w:rsid w:val="002F25B9"/>
    <w:rsid w:val="004061B0"/>
    <w:rsid w:val="00433D79"/>
    <w:rsid w:val="00505663"/>
    <w:rsid w:val="005F57CB"/>
    <w:rsid w:val="0077356D"/>
    <w:rsid w:val="007D0513"/>
    <w:rsid w:val="008F7B4F"/>
    <w:rsid w:val="00AB4E64"/>
    <w:rsid w:val="00CD1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C81D"/>
  <w15:chartTrackingRefBased/>
  <w15:docId w15:val="{A5555895-7A01-4A9B-9390-18316E6A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7CB"/>
    <w:rPr>
      <w:rFonts w:eastAsiaTheme="majorEastAsia" w:cstheme="majorBidi"/>
      <w:color w:val="272727" w:themeColor="text1" w:themeTint="D8"/>
    </w:rPr>
  </w:style>
  <w:style w:type="paragraph" w:styleId="Title">
    <w:name w:val="Title"/>
    <w:basedOn w:val="Normal"/>
    <w:next w:val="Normal"/>
    <w:link w:val="TitleChar"/>
    <w:uiPriority w:val="10"/>
    <w:qFormat/>
    <w:rsid w:val="005F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7CB"/>
    <w:pPr>
      <w:spacing w:before="160"/>
      <w:jc w:val="center"/>
    </w:pPr>
    <w:rPr>
      <w:i/>
      <w:iCs/>
      <w:color w:val="404040" w:themeColor="text1" w:themeTint="BF"/>
    </w:rPr>
  </w:style>
  <w:style w:type="character" w:customStyle="1" w:styleId="QuoteChar">
    <w:name w:val="Quote Char"/>
    <w:basedOn w:val="DefaultParagraphFont"/>
    <w:link w:val="Quote"/>
    <w:uiPriority w:val="29"/>
    <w:rsid w:val="005F57CB"/>
    <w:rPr>
      <w:i/>
      <w:iCs/>
      <w:color w:val="404040" w:themeColor="text1" w:themeTint="BF"/>
    </w:rPr>
  </w:style>
  <w:style w:type="paragraph" w:styleId="ListParagraph">
    <w:name w:val="List Paragraph"/>
    <w:basedOn w:val="Normal"/>
    <w:uiPriority w:val="34"/>
    <w:qFormat/>
    <w:rsid w:val="005F57CB"/>
    <w:pPr>
      <w:ind w:left="720"/>
      <w:contextualSpacing/>
    </w:pPr>
  </w:style>
  <w:style w:type="character" w:styleId="IntenseEmphasis">
    <w:name w:val="Intense Emphasis"/>
    <w:basedOn w:val="DefaultParagraphFont"/>
    <w:uiPriority w:val="21"/>
    <w:qFormat/>
    <w:rsid w:val="005F57CB"/>
    <w:rPr>
      <w:i/>
      <w:iCs/>
      <w:color w:val="0F4761" w:themeColor="accent1" w:themeShade="BF"/>
    </w:rPr>
  </w:style>
  <w:style w:type="paragraph" w:styleId="IntenseQuote">
    <w:name w:val="Intense Quote"/>
    <w:basedOn w:val="Normal"/>
    <w:next w:val="Normal"/>
    <w:link w:val="IntenseQuoteChar"/>
    <w:uiPriority w:val="30"/>
    <w:qFormat/>
    <w:rsid w:val="005F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7CB"/>
    <w:rPr>
      <w:i/>
      <w:iCs/>
      <w:color w:val="0F4761" w:themeColor="accent1" w:themeShade="BF"/>
    </w:rPr>
  </w:style>
  <w:style w:type="character" w:styleId="IntenseReference">
    <w:name w:val="Intense Reference"/>
    <w:basedOn w:val="DefaultParagraphFont"/>
    <w:uiPriority w:val="32"/>
    <w:qFormat/>
    <w:rsid w:val="005F5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 Abdulhai Ansari</dc:creator>
  <cp:keywords/>
  <dc:description/>
  <cp:lastModifiedBy>Shamim Abdulhai Ansari</cp:lastModifiedBy>
  <cp:revision>2</cp:revision>
  <dcterms:created xsi:type="dcterms:W3CDTF">2026-10-11T20:27:00Z</dcterms:created>
  <dcterms:modified xsi:type="dcterms:W3CDTF">2026-10-11T20:29:00Z</dcterms:modified>
</cp:coreProperties>
</file>