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P&amp;C AI Demonstration</w:t>
      </w:r>
    </w:p>
    <w:p>
      <w:pPr>
        <w:pStyle w:val="Subtitle"/>
      </w:pPr>
      <w:r>
        <w:t>Client concept letter  •  October 2026</w:t>
      </w:r>
    </w:p>
    <w:p>
      <w:r>
        <w:t>Dear Insurance Technology and Business Leadership Team,</w:t>
      </w:r>
    </w:p>
    <w:p>
      <w:r>
        <w:t>Neurology Insurance Solution proposes a controlled, lightweight proof of concept demonstrating how a canonical data hub and interoperable execution services can support insurance workflows without requiring Guidewire or Duck Creek as the new solution platform.</w:t>
      </w:r>
    </w:p>
    <w:p>
      <w:pPr>
        <w:pStyle w:val="Heading2"/>
      </w:pPr>
      <w:r>
        <w:t>Proposed demonstration scope</w:t>
      </w:r>
    </w:p>
    <w:p>
      <w:pPr>
        <w:pStyle w:val="ListBullet"/>
      </w:pPr>
      <w:r>
        <w:t>Canonical data dictionary, aliases, picklists and synthetic policy/claim/billing records</w:t>
      </w:r>
    </w:p>
    <w:p>
      <w:pPr>
        <w:pStyle w:val="ListBullet"/>
      </w:pPr>
      <w:r>
        <w:t>Ten approved sample business-rule evaluations and exception results</w:t>
      </w:r>
    </w:p>
    <w:p>
      <w:pPr>
        <w:pStyle w:val="ListBullet"/>
      </w:pPr>
      <w:r>
        <w:t>Illustrative Florida HO3 rating worksheet and sample form selection</w:t>
      </w:r>
    </w:p>
    <w:p>
      <w:pPr>
        <w:pStyle w:val="ListBullet"/>
      </w:pPr>
      <w:r>
        <w:t>Illustrative non-regulatory bureau-style CSV extraction and validation</w:t>
      </w:r>
    </w:p>
    <w:p>
      <w:pPr>
        <w:pStyle w:val="ListBullet"/>
      </w:pPr>
      <w:r>
        <w:t>AI-assisted (similarity-based) mapping proposals with explicit review and audit</w:t>
      </w:r>
    </w:p>
    <w:p>
      <w:pPr>
        <w:pStyle w:val="ListBullet"/>
      </w:pPr>
      <w:r>
        <w:t>One Streamlit dashboard coordinating all demonstration modules</w:t>
      </w:r>
    </w:p>
    <w:p>
      <w:pPr>
        <w:pStyle w:val="Heading2"/>
      </w:pPr>
      <w:r>
        <w:t>Proof-of-concept success criteria</w:t>
      </w:r>
    </w:p>
    <w:p>
      <w:r>
        <w:t>The demonstration will show repeatable calculations, traceable source-to-canonical mappings, visible exception handling, reproducible export files and a logged simulated orchestration run. No live transaction processing is part of this initial trial.</w:t>
      </w:r>
    </w:p>
    <w:p>
      <w:pPr>
        <w:pStyle w:val="Heading2"/>
      </w:pPr>
      <w:r>
        <w:t>Enterprise adoption and security</w:t>
      </w:r>
    </w:p>
    <w:p>
      <w:r>
        <w:t>The sample uses only synthetic information and local SQLite storage. A subsequent carrier-specific pilot would require explicit security and legal approval; client-managed credentials; an isolated nonproduction environment; identity-backed role permissions; encryption; change controls; data reconciliation; and validation against actual, authorized bureau specifications. The pilot does not represent an approved filed insurance product, statutory bureau report or production-ready AI.</w:t>
      </w:r>
    </w:p>
    <w:p>
      <w:pPr>
        <w:pStyle w:val="Heading2"/>
      </w:pPr>
      <w:r>
        <w:t>Recommended next step</w:t>
      </w:r>
    </w:p>
    <w:p>
      <w:r>
        <w:t>Review the sample workbook and Streamlit proof of concept, select one approved line of business and a limited data sample, and agree on acceptance tests before considering authorized database/API integrations.</w:t>
      </w:r>
    </w:p>
    <w:p>
      <w:r>
        <w:t>Sincerely,</w:t>
      </w:r>
    </w:p>
    <w:p>
      <w:r>
        <w:t>Neurology Insurance Solution</w:t>
        <w:br/>
        <w:t>SuperAI-OS Enterprise P&amp;C Modernization Initiative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NEUROLOGY INSURANCE SOLUTION  |  SUPERAI-OS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