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 + Pro Subscription Model</w:t>
      </w:r>
    </w:p>
    <w:p>
      <w:r>
        <w:rPr>
          <w:b w:val="0"/>
        </w:rPr>
        <w:t>Commercial proposal  |  Student journeys  |  Annual cost allocation</w:t>
      </w:r>
    </w:p>
    <w:p>
      <w:r>
        <w:rPr>
          <w:b/>
        </w:rPr>
        <w:t>Decision requested: approve a two-plan launch with Pro priced at ₹179/month or ₹1,499/year, subject to validating actual cost per active student. These are proposed selling prices, not approved rates.</w:t>
      </w:r>
    </w:p>
    <w:p>
      <w:pPr>
        <w:pStyle w:val="Heading1"/>
      </w:pPr>
      <w:r>
        <w:t>01  Model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FREE</w:t>
            </w:r>
          </w:p>
        </w:tc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PRO MONTHLY</w:t>
            </w:r>
          </w:p>
        </w:tc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PRO YEARLY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₹0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₹179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₹1,499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Ongoing exploratory access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30-day paid access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12-month paid access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Free-eligible modules and limited trials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Pro-eligible catalog within usage caps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Same monthly caps refreshed during annual term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No payment required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Manual purchase / renewal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Manual purchase / renewal</w:t>
            </w:r>
          </w:p>
        </w:tc>
      </w:tr>
    </w:tbl>
    <w:p/>
    <w:p>
      <w:pPr>
        <w:pStyle w:val="Heading1"/>
      </w:pPr>
      <w:r>
        <w:t>Scope of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PROGRAMS</w:t>
            </w:r>
          </w:p>
        </w:tc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MODULES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Virtual Internship Program (VIP)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Courses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Ready for Class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Projects / Capstones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Mind Role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Labs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Certificate Preparation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Assessments</w:t>
            </w:r>
          </w:p>
        </w:tc>
      </w:tr>
    </w:tbl>
    <w:p/>
    <w:p>
      <w:r>
        <w:rPr>
          <w:b w:val="0"/>
        </w:rPr>
        <w:t>Program naming should be confirmed before student-facing publication. Access to live delivery, human evaluations, external certificates, or institution-funded activities is excluded unless separately approved.</w:t>
      </w:r>
    </w:p>
    <w:p>
      <w:pPr>
        <w:pStyle w:val="Heading1"/>
      </w:pPr>
      <w:r>
        <w:t>Guiding product decisions</w:t>
      </w:r>
    </w:p>
    <w:p>
      <w:r>
        <w:rPr>
          <w:b w:val="0"/>
        </w:rPr>
        <w:t>• Free remains available before and after a Pro subscription. Learning history and progress stay saved.</w:t>
      </w:r>
    </w:p>
    <w:p>
      <w:r>
        <w:rPr>
          <w:b w:val="0"/>
        </w:rPr>
        <w:t>• Pro enables eligible content, not unlimited high-cost usage: enrollment slots and AI/compute budgets are both enforced.</w:t>
      </w:r>
    </w:p>
    <w:p>
      <w:r>
        <w:rPr>
          <w:b w:val="0"/>
        </w:rPr>
        <w:t>• No automatic debit is assumed at launch. Student selects and pays for each renewal manually; any future auto-pay choice requires a supported payment mandate.</w:t>
      </w:r>
    </w:p>
    <w:p>
      <w:r>
        <w:rPr>
          <w:b w:val="0"/>
        </w:rPr>
        <w:t>• University-assigned learning remains separate from a student’s personal paid subscription.</w:t>
      </w:r>
    </w:p>
    <w:p>
      <w:r>
        <w:rPr>
          <w:b w:val="0"/>
        </w:rPr>
        <w:t>• Plan changes apply to new purchases; existing purchases retain their agreed entitlements until their term ends.</w:t>
      </w:r>
    </w:p>
    <w:p>
      <w:r>
        <w:br w:type="page"/>
      </w:r>
    </w:p>
    <w:p>
      <w:pPr>
        <w:pStyle w:val="Heading1"/>
      </w:pPr>
      <w:r>
        <w:t>02  Proposed feature allowances</w:t>
      </w:r>
    </w:p>
    <w:p>
      <w:r>
        <w:rPr>
          <w:b w:val="0"/>
        </w:rPr>
        <w:t>These are controlled launch assumptions designed for cost testing—not final product promises. “Active” means concurrently enrolled; usage refreshes monthly for both billing durations.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ENTITLEMENT</w:t>
            </w:r>
          </w:p>
        </w:tc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FREE</w:t>
            </w:r>
          </w:p>
        </w:tc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PRO — PROPOSED CAP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Courses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Free catalog / preview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1 new course enrollment each month; max 2 active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Labs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Demo only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2 standard lab sessions / month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1 automated project evaluation / quarter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Certificate Prep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1 active track; metered practice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Assessments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Limited sample practice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2 assessed attempts / month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Virtual Internship Program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Browse / preview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Selected self-paced VIP pathway; no live mentorship included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Ready for Class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Browse / preview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Selected digital modules; delivery costs separately reviewed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Mind Role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Browse / preview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Selected digital pathway; expensive services gated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Browse / preview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Selected digital pathway; exam/credential fees not bundled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AI use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Small one-time trial if approved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Shared budget measured by rupee cost; example cap 25 product tokens/month only after calibration</w:t>
            </w:r>
          </w:p>
        </w:tc>
      </w:tr>
    </w:tbl>
    <w:p/>
    <w:p>
      <w:r>
        <w:rPr>
          <w:b/>
        </w:rPr>
        <w:t>Bundled-content rule proposed: selecting a program should not separately consume module enrollment slots for its built-in components, but all AI, compute, and evaluation usage must still count toward the metered budget. Confirm before development.</w:t>
      </w:r>
    </w:p>
    <w:p>
      <w:pPr>
        <w:pStyle w:val="Heading1"/>
      </w:pPr>
      <w:r>
        <w:t>Rules students must understand</w:t>
      </w:r>
    </w:p>
    <w:p>
      <w:r>
        <w:rPr>
          <w:b w:val="0"/>
        </w:rPr>
        <w:t>• Selections normally cannot be swapped during an active period; completed enrollments still occupy active slots until the relevant renewal/reset.</w:t>
      </w:r>
    </w:p>
    <w:p>
      <w:r>
        <w:rPr>
          <w:b w:val="0"/>
        </w:rPr>
        <w:t>• At renewal students can retain, replace, or combine eligible selections within available new-term slots.</w:t>
      </w:r>
    </w:p>
    <w:p>
      <w:r>
        <w:rPr>
          <w:b w:val="0"/>
        </w:rPr>
        <w:t>• When paid access expires, Pro-only content locks; prior learning records remain visible.</w:t>
      </w:r>
    </w:p>
    <w:p>
      <w:r>
        <w:rPr>
          <w:b w:val="0"/>
        </w:rPr>
        <w:t>• No 7-day payment grace period under the latest reference decision: service resumes after successful manual renewal.</w:t>
      </w:r>
    </w:p>
    <w:p>
      <w:r>
        <w:rPr>
          <w:b w:val="0"/>
        </w:rPr>
        <w:t>• If content is withdrawn or broken by SkillWallet, the platform should provide a remediation exception rather than permanently wasting a paid slot.</w:t>
      </w:r>
    </w:p>
    <w:p>
      <w:r>
        <w:br w:type="page"/>
      </w:r>
    </w:p>
    <w:p>
      <w:pPr>
        <w:pStyle w:val="Heading1"/>
      </w:pPr>
      <w:r>
        <w:t>03  Student subscription journeys</w:t>
      </w:r>
    </w:p>
    <w:p>
      <w:r>
        <w:rPr>
          <w:b w:val="0"/>
        </w:rPr>
        <w:t>Four core journeys; consistent milestones and outcomes for quick discussion.</w:t>
      </w:r>
    </w:p>
    <w:p>
      <w:r>
        <w:drawing>
          <wp:inline xmlns:a="http://schemas.openxmlformats.org/drawingml/2006/main" xmlns:pic="http://schemas.openxmlformats.org/drawingml/2006/picture">
            <wp:extent cx="6492240" cy="3284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ption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8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Important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SYSTEM BEHAVIOR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Student purchases Pro during Free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Activate Pro after successful manual payment; show limits, validity and selected content.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Student finishes a course early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Completion does not create an extra enrollment slot in the current term.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Student runs out of AI allowance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Pause metered AI actions or offer an approved top-up; preserve learning access.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Student changes Monthly ↔ Yearly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New purchase activates according to a disclosed effective-date rule; no automatic charge.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Student misses renewal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Paid entitlements end on expiry; Free access and progress continue.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Content becomes unavailable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Escalate for replacement/remediation; no silent deletion of progress.</w:t>
            </w:r>
          </w:p>
        </w:tc>
      </w:tr>
    </w:tbl>
    <w:p/>
    <w:p>
      <w:r>
        <w:br w:type="page"/>
      </w:r>
    </w:p>
    <w:p>
      <w:pPr>
        <w:pStyle w:val="Heading1"/>
      </w:pPr>
      <w:r>
        <w:t>04  ₹1,499 annual price: proposed allocation</w:t>
      </w:r>
    </w:p>
    <w:p>
      <w:r>
        <w:rPr>
          <w:b w:val="0"/>
        </w:rPr>
        <w:t>For comparison, ₹1,499 is treated as GST-inclusive at an illustrative 18% rate. Actual tax and fee treatment must be confirmed by Finance.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ANNUAL REVENUE BRIDGE</w:t>
            </w:r>
          </w:p>
        </w:tc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PER STUDENT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Paid by student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₹1,499.00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Illustrative included GST (₹1,499 × 18/118)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₹228.66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Net revenue before operating costs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₹1,270.34</w:t>
            </w:r>
          </w:p>
        </w:tc>
      </w:tr>
    </w:tbl>
    <w:p/>
    <w:p>
      <w:pPr>
        <w:pStyle w:val="Heading1"/>
      </w:pPr>
      <w:r>
        <w:t>Draft annual servicing budget per paying student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COST CATEGORY</w:t>
            </w:r>
          </w:p>
        </w:tc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ANNUAL BUDGET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AI / Zaby interactions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₹240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Infrastructure + standard labs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₹180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Digital content creation / licensing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₹120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Automated evaluations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₹120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Student support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₹90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Payment handling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₹35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Student acquisition allocation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₹110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Engineering + administration allocation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₹140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Refund / abnormal usage reserve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₹80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Total planned cost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₹1,115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Remaining contribution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₹155.34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Contribution margin on ex-tax revenue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12.2%</w:t>
            </w:r>
          </w:p>
        </w:tc>
      </w:tr>
    </w:tbl>
    <w:p/>
    <w:p>
      <w:r>
        <w:rPr>
          <w:b/>
        </w:rPr>
        <w:t>Interpretation: this is an illustrative maximum-spend framework, not proof of profitability. A 20% contribution margin would require all-in costs of no more than approximately ₹1,016 per annual subscriber. The budget above leaves little room for unexpected manual evaluation or heavy AI usage.</w:t>
      </w:r>
    </w:p>
    <w:p>
      <w:pPr>
        <w:pStyle w:val="Heading1"/>
      </w:pPr>
      <w:r>
        <w:t>What the supplied token sheet establishes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EXAMPLE ESTIMATE</w:t>
            </w:r>
          </w:p>
        </w:tc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SHEET VALUE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SME-created example bundle — average tokens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1,785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Learner-created example bundle — average tokens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2,941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SME-created bundle — estimated Zaby cost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₹89.24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Learner-created bundle — estimated Zaby cost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₹245.10</w:t>
            </w:r>
          </w:p>
        </w:tc>
      </w:tr>
    </w:tbl>
    <w:p/>
    <w:p>
      <w:r>
        <w:rPr>
          <w:b w:val="0"/>
        </w:rPr>
        <w:t>The sheet’s bundle outputs and cost columns are not fully reconciled and do not establish an annual cost/student. ₹240 for AI is a provisional allowance: one average learner-created example bundle alone is listed at approximately ₹245.10. Before fixing entitlements, validate token-to-rupee conversion, feature frequency, and who bears generation costs.</w:t>
      </w:r>
    </w:p>
    <w:p>
      <w:r>
        <w:br w:type="page"/>
      </w:r>
    </w:p>
    <w:p>
      <w:pPr>
        <w:pStyle w:val="Heading1"/>
      </w:pPr>
      <w:r>
        <w:t>05  Viability checks and launch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ANNUAL ALL-IN COST</w:t>
            </w:r>
          </w:p>
        </w:tc>
        <w:tc>
          <w:tcPr>
            <w:tcW w:type="dxa" w:w="3379"/>
            <w:shd w:fill="F1F1F1"/>
          </w:tcPr>
          <w:p>
            <w:r>
              <w:rPr>
                <w:b/>
                <w:sz w:val="18"/>
              </w:rPr>
              <w:t>REMAINING CONTRIBUTION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Efficient usage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₹850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₹420.34 (33.1%)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Planned budget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₹1,115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₹155.34 (12.2%)</w:t>
            </w:r>
          </w:p>
        </w:tc>
      </w:tr>
      <w:tr>
        <w:tc>
          <w:tcPr>
            <w:tcW w:type="dxa" w:w="3379"/>
          </w:tcPr>
          <w:p>
            <w:r>
              <w:rPr>
                <w:b w:val="0"/>
                <w:sz w:val="18"/>
              </w:rPr>
              <w:t>Heavy usage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₹1,350</w:t>
            </w:r>
          </w:p>
        </w:tc>
        <w:tc>
          <w:tcPr>
            <w:tcW w:type="dxa" w:w="3379"/>
          </w:tcPr>
          <w:p>
            <w:r>
              <w:rPr>
                <w:b w:val="0"/>
                <w:sz w:val="18"/>
              </w:rPr>
              <w:t>–₹79.66 (loss)</w:t>
            </w:r>
          </w:p>
        </w:tc>
      </w:tr>
    </w:tbl>
    <w:p/>
    <w:p>
      <w:r>
        <w:rPr>
          <w:b w:val="0"/>
        </w:rPr>
        <w:t>Monthly must be evaluated separately: ₹179 inclusive of illustrative 18% GST yields about ₹151.69 before servicing costs. Subscription price does not guarantee a margin if expensive feature usage concentrates in one month.</w:t>
      </w:r>
    </w:p>
    <w:p>
      <w:pPr>
        <w:pStyle w:val="Heading1"/>
      </w:pPr>
      <w:r>
        <w:t>Minimum data collection before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5069"/>
            <w:shd w:fill="F1F1F1"/>
          </w:tcPr>
          <w:p>
            <w:r>
              <w:rPr>
                <w:b/>
                <w:sz w:val="18"/>
              </w:rPr>
              <w:t>REQUIRED INPUT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Backend / AI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Real provider-billed ₹ per token, course-generation cost, CertPrep and AI interaction cost, 90th-percentile heavy-user pattern.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DevOps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Server, storage, video, lab execution, and monitoring costs at 100 / 1,000 / 10,000 active students.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Support cost, manual review/evaluation hours, paid-program delivery obligations.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GST treatment, gateway fees, refunds, marketing CAC, fixed cost allocation.</w:t>
            </w:r>
          </w:p>
        </w:tc>
      </w:tr>
      <w:tr>
        <w:tc>
          <w:tcPr>
            <w:tcW w:type="dxa" w:w="5069"/>
          </w:tcPr>
          <w:p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5069"/>
          </w:tcPr>
          <w:p>
            <w:r>
              <w:rPr>
                <w:b w:val="0"/>
                <w:sz w:val="18"/>
              </w:rPr>
              <w:t>Student enrollment forecasts, monthly vs yearly mix, conversion and retention, exact program inclusions.</w:t>
            </w:r>
          </w:p>
        </w:tc>
      </w:tr>
    </w:tbl>
    <w:p/>
    <w:p>
      <w:pPr>
        <w:pStyle w:val="Heading1"/>
      </w:pPr>
      <w:r>
        <w:t>Founder approvals</w:t>
      </w:r>
    </w:p>
    <w:p>
      <w:r>
        <w:rPr>
          <w:b w:val="0"/>
        </w:rPr>
        <w:t>☐ Approve pricing test: Free ₹0, Pro ₹179 monthly, Pro ₹1,499 yearly.</w:t>
      </w:r>
    </w:p>
    <w:p>
      <w:r>
        <w:rPr>
          <w:b w:val="0"/>
        </w:rPr>
        <w:t>☐ Approve initial module/program inclusion matrix and which expensive services remain excluded.</w:t>
      </w:r>
    </w:p>
    <w:p>
      <w:r>
        <w:rPr>
          <w:b w:val="0"/>
        </w:rPr>
        <w:t>☐ Confirm whether monthly allowances refresh within yearly plans and whether “course enrollment” resets monthly.</w:t>
      </w:r>
    </w:p>
    <w:p>
      <w:r>
        <w:rPr>
          <w:b w:val="0"/>
        </w:rPr>
        <w:t>☐ Approve AI/compute metering and a hard cost threshold per account.</w:t>
      </w:r>
    </w:p>
    <w:p>
      <w:r>
        <w:rPr>
          <w:b w:val="0"/>
        </w:rPr>
        <w:t>☐ Confirm billing-cycle switch effective date and manual payment UX.</w:t>
      </w:r>
    </w:p>
    <w:p>
      <w:r>
        <w:rPr>
          <w:b w:val="0"/>
        </w:rPr>
        <w:t>☐ Require a 100-student cost and conversion pilot before public launch.</w:t>
      </w:r>
    </w:p>
    <w:p>
      <w:r>
        <w:rPr>
          <w:b/>
        </w:rPr>
        <w:t>Recommendation: approve the commercial direction now, but release price and promised limits only after the team reconciles AI unit costs and tests high-usage students. A viable launch can be broad in content and still disciplined in expensive service usage.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51" w:bottom="936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Founder review  •  Draft for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SKILLWALLET   /   INTERNAL BUSINESS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141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