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646464"/>
          <w:sz w:val="16"/>
        </w:rPr>
        <w:t>CARD 01 · Basic Level  |  Domain: Financial Institution UK · Finance Operations</w:t>
      </w:r>
    </w:p>
    <w:p>
      <w:pPr>
        <w:spacing w:after="240"/>
      </w:pPr>
      <w:r>
        <w:rPr>
          <w:b/>
          <w:color w:val="191950"/>
          <w:sz w:val="36"/>
        </w:rPr>
        <w:t>The Employee Billing Reconciler</w:t>
      </w:r>
    </w:p>
    <w:p>
      <w:pPr>
        <w:spacing w:before="280" w:after="80"/>
      </w:pPr>
      <w:r>
        <w:rPr>
          <w:b/>
          <w:color w:val="0064B4"/>
          <w:sz w:val="22"/>
        </w:rPr>
        <w:t>CHALLENGE DESCRIPTION</w:t>
      </w:r>
    </w:p>
    <w:p>
      <w:pPr>
        <w:spacing w:before="280" w:after="80"/>
      </w:pPr>
      <w:r>
        <w:rPr>
          <w:b/>
          <w:color w:val="0064B4"/>
          <w:sz w:val="22"/>
        </w:rPr>
        <w:t>TEST DATA FILES</w:t>
      </w:r>
    </w:p>
    <w:p>
      <w:pPr>
        <w:spacing w:before="280" w:after="80"/>
      </w:pPr>
      <w:r>
        <w:rPr>
          <w:b/>
          <w:color w:val="B43C14"/>
          <w:sz w:val="22"/>
        </w:rPr>
        <w:t>WHY THIS CHALLENGE?</w:t>
      </w:r>
    </w:p>
    <w:p>
      <w:pPr>
        <w:spacing w:before="280" w:after="80"/>
      </w:pPr>
      <w:r>
        <w:rPr>
          <w:b/>
          <w:color w:val="00823C"/>
          <w:sz w:val="22"/>
        </w:rPr>
        <w:t>SUCCESS CRITERIA</w:t>
      </w:r>
    </w:p>
    <w:p>
      <w:pPr>
        <w:spacing w:before="280" w:after="80"/>
      </w:pPr>
      <w:r>
        <w:rPr>
          <w:b/>
          <w:color w:val="0064B4"/>
          <w:sz w:val="22"/>
        </w:rPr>
        <w:t>HOW TO TEST</w:t>
      </w:r>
    </w:p>
    <w:p>
      <w:pPr>
        <w:spacing w:before="280" w:after="80"/>
      </w:pPr>
      <w:r>
        <w:rPr>
          <w:b/>
          <w:color w:val="500078"/>
          <w:sz w:val="22"/>
        </w:rPr>
        <w:t>PROMPT</w:t>
      </w:r>
    </w:p>
    <w:p>
      <w:pPr>
        <w:spacing w:before="80" w:after="160"/>
        <w:shd w:fill="F0F0F8" w:val="clear"/>
      </w:pPr>
      <w:r>
        <w:rPr>
          <w:b w:val="0"/>
          <w:i/>
          <w:sz w:val="20"/>
        </w:rPr>
        <w:t>“I have attached two Excel files. The first is FTEUtilisation.xlsx with columns: Employee ID, Employee Name, Product Code, Product Team, Hours Logged. The second is RateCard.xlsx with columns: Employee ID, Employee Name, Grade, Billing Rate (£/hr). In the FTE Utilisation file, add a new column called Billing Rate that looks up each Employee ID from the Rate Card and pulls the corresponding billing rate. If an Employee ID is not found in the Rate Card, use the default rate of £85. Then add one more column called Total Billing that multiplies Hours Logged by Billing Rate. Give me back the updated FTE Utilisation file.”</w:t>
      </w:r>
    </w:p>
    <w:p>
      <w:pPr>
        <w:spacing w:before="280" w:after="80"/>
      </w:pPr>
      <w:r>
        <w:rPr>
          <w:b/>
          <w:color w:val="0064B4"/>
          <w:sz w:val="22"/>
        </w:rPr>
        <w:t>EXPECTED RESPONSE</w:t>
      </w:r>
    </w:p>
    <w:p>
      <w:pPr>
        <w:spacing w:before="280" w:after="80"/>
      </w:pPr>
      <w:r>
        <w:rPr>
          <w:b/>
          <w:color w:val="505050"/>
          <w:sz w:val="22"/>
        </w:rPr>
        <w:t>FACILITATOR</w:t>
      </w:r>
    </w:p>
    <w:p>
      <w:pPr>
        <w:spacing w:before="160" w:after="80"/>
      </w:pPr>
      <w:r>
        <w:rPr>
          <w:b w:val="0"/>
          <w:i/>
          <w:color w:val="646464"/>
          <w:sz w:val="18"/>
        </w:rPr>
        <w:t>Facilitator: Agents that do not normalise the ID format mismatch will return lookup errors for FI-20048 and FI- 20051. Agents that omit the IFERROR wrap will return errors for FI-20099 and FI-20100 instead of the default rate. FI-20048 has zero hours — any agent returning blank instead of £0 for Total Billing fails the zero-value trap.</w:t>
      </w:r>
    </w:p>
    <w:p/>
    <w:p>
      <w:pPr>
        <w:spacing w:after="120"/>
      </w:pPr>
      <w:r>
        <w:rPr>
          <w:b/>
          <w:color w:val="0064B4"/>
          <w:sz w:val="22"/>
        </w:rPr>
        <w:t>EXPECTED VALIDATION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Employee ID</w:t>
            </w:r>
          </w:p>
        </w:tc>
        <w:tc>
          <w:tcPr>
            <w:tcW w:type="dxa" w:w="1994"/>
          </w:tcPr>
          <w:p>
            <w:r>
              <w:rPr>
                <w:sz w:val="18"/>
              </w:rPr>
              <w:t>Hours Logged</w:t>
            </w:r>
          </w:p>
        </w:tc>
        <w:tc>
          <w:tcPr>
            <w:tcW w:type="dxa" w:w="1994"/>
          </w:tcPr>
          <w:p>
            <w:r>
              <w:rPr>
                <w:sz w:val="18"/>
              </w:rPr>
              <w:t>Billing Rate (£/hr)</w:t>
            </w:r>
          </w:p>
        </w:tc>
        <w:tc>
          <w:tcPr>
            <w:tcW w:type="dxa" w:w="1994"/>
          </w:tcPr>
          <w:p>
            <w:r>
              <w:rPr>
                <w:sz w:val="18"/>
              </w:rPr>
              <w:t>Total Billing (£)</w:t>
            </w:r>
          </w:p>
        </w:tc>
        <w:tc>
          <w:tcPr>
            <w:tcW w:type="dxa" w:w="1994"/>
          </w:tcPr>
          <w:p>
            <w:r>
              <w:rPr>
                <w:sz w:val="18"/>
              </w:rPr>
              <w:t>Validation Point</w:t>
            </w:r>
          </w:p>
        </w:tc>
      </w:tr>
      <w:tr>
        <w:tc>
          <w:tcPr>
            <w:tcW w:type="dxa" w:w="1994"/>
          </w:tcPr>
          <w:p>
            <w:r>
              <w:rPr>
                <w:sz w:val="18"/>
              </w:rPr>
              <w:t>FI-20048 (text)</w:t>
            </w:r>
          </w:p>
        </w:tc>
        <w:tc>
          <w:tcPr>
            <w:tcW w:type="dxa" w:w="1994"/>
          </w:tcPr>
          <w:p>
            <w:r>
              <w:rPr>
                <w:sz w:val="18"/>
              </w:rPr>
              <w:t>0</w:t>
            </w:r>
          </w:p>
        </w:tc>
        <w:tc>
          <w:tcPr>
            <w:tcW w:type="dxa" w:w="1994"/>
          </w:tcPr>
          <w:p>
            <w:r>
              <w:rPr>
                <w:sz w:val="18"/>
              </w:rPr>
              <w:t>65</w:t>
            </w:r>
          </w:p>
        </w:tc>
        <w:tc>
          <w:tcPr>
            <w:tcW w:type="dxa" w:w="1994"/>
          </w:tcPr>
          <w:p>
            <w:r>
              <w:rPr>
                <w:sz w:val="18"/>
              </w:rPr>
              <w:t>0</w:t>
            </w:r>
          </w:p>
        </w:tc>
        <w:tc>
          <w:tcPr>
            <w:tcW w:type="dxa" w:w="1994"/>
          </w:tcPr>
          <w:p>
            <w:r>
              <w:rPr>
                <w:sz w:val="18"/>
              </w:rPr>
              <w:t>Text ID resolved; zero hours → Total = £0</w:t>
            </w:r>
          </w:p>
        </w:tc>
      </w:tr>
      <w:tr>
        <w:tc>
          <w:tcPr>
            <w:tcW w:type="dxa" w:w="1994"/>
          </w:tcPr>
          <w:p>
            <w:r>
              <w:rPr>
                <w:sz w:val="18"/>
              </w:rPr>
              <w:t>FI-20051 (text)</w:t>
            </w:r>
          </w:p>
        </w:tc>
        <w:tc>
          <w:tcPr>
            <w:tcW w:type="dxa" w:w="1994"/>
          </w:tcPr>
          <w:p>
            <w:r>
              <w:rPr>
                <w:sz w:val="18"/>
              </w:rPr>
              <w:t>75</w:t>
            </w:r>
          </w:p>
        </w:tc>
        <w:tc>
          <w:tcPr>
            <w:tcW w:type="dxa" w:w="1994"/>
          </w:tcPr>
          <w:p>
            <w:r>
              <w:rPr>
                <w:sz w:val="18"/>
              </w:rPr>
              <w:t>95</w:t>
            </w:r>
          </w:p>
        </w:tc>
        <w:tc>
          <w:tcPr>
            <w:tcW w:type="dxa" w:w="1994"/>
          </w:tcPr>
          <w:p>
            <w:r>
              <w:rPr>
                <w:sz w:val="18"/>
              </w:rPr>
              <w:t>7,125</w:t>
            </w:r>
          </w:p>
        </w:tc>
        <w:tc>
          <w:tcPr>
            <w:tcW w:type="dxa" w:w="1994"/>
          </w:tcPr>
          <w:p>
            <w:r>
              <w:rPr>
                <w:sz w:val="18"/>
              </w:rPr>
              <w:t>Text ID resolved correctly</w:t>
            </w:r>
          </w:p>
        </w:tc>
      </w:tr>
      <w:tr>
        <w:tc>
          <w:tcPr>
            <w:tcW w:type="dxa" w:w="1994"/>
          </w:tcPr>
          <w:p>
            <w:r>
              <w:rPr>
                <w:sz w:val="18"/>
              </w:rPr>
              <w:t>FI-20099</w:t>
            </w:r>
          </w:p>
        </w:tc>
        <w:tc>
          <w:tcPr>
            <w:tcW w:type="dxa" w:w="1994"/>
          </w:tcPr>
          <w:p>
            <w:r>
              <w:rPr>
                <w:sz w:val="18"/>
              </w:rPr>
              <w:t>50</w:t>
            </w:r>
          </w:p>
        </w:tc>
        <w:tc>
          <w:tcPr>
            <w:tcW w:type="dxa" w:w="1994"/>
          </w:tcPr>
          <w:p>
            <w:r>
              <w:rPr>
                <w:sz w:val="18"/>
              </w:rPr>
              <w:t>85</w:t>
            </w:r>
          </w:p>
        </w:tc>
        <w:tc>
          <w:tcPr>
            <w:tcW w:type="dxa" w:w="1994"/>
          </w:tcPr>
          <w:p>
            <w:r>
              <w:rPr>
                <w:sz w:val="18"/>
              </w:rPr>
              <w:t>4,250</w:t>
            </w:r>
          </w:p>
        </w:tc>
        <w:tc>
          <w:tcPr>
            <w:tcW w:type="dxa" w:w="1994"/>
          </w:tcPr>
          <w:p>
            <w:r>
              <w:rPr>
                <w:sz w:val="18"/>
              </w:rPr>
              <w:t>Contractor — default rate applied</w:t>
            </w:r>
          </w:p>
        </w:tc>
      </w:tr>
      <w:tr>
        <w:tc>
          <w:tcPr>
            <w:tcW w:type="dxa" w:w="1994"/>
          </w:tcPr>
          <w:p>
            <w:r>
              <w:rPr>
                <w:sz w:val="18"/>
              </w:rPr>
              <w:t>FI-20100</w:t>
            </w:r>
          </w:p>
        </w:tc>
        <w:tc>
          <w:tcPr>
            <w:tcW w:type="dxa" w:w="1994"/>
          </w:tcPr>
          <w:p>
            <w:r>
              <w:rPr>
                <w:sz w:val="18"/>
              </w:rPr>
              <w:t>40</w:t>
            </w:r>
          </w:p>
        </w:tc>
        <w:tc>
          <w:tcPr>
            <w:tcW w:type="dxa" w:w="1994"/>
          </w:tcPr>
          <w:p>
            <w:r>
              <w:rPr>
                <w:sz w:val="18"/>
              </w:rPr>
              <w:t>85</w:t>
            </w:r>
          </w:p>
        </w:tc>
        <w:tc>
          <w:tcPr>
            <w:tcW w:type="dxa" w:w="1994"/>
          </w:tcPr>
          <w:p>
            <w:r>
              <w:rPr>
                <w:sz w:val="18"/>
              </w:rPr>
              <w:t>3,400</w:t>
            </w:r>
          </w:p>
        </w:tc>
        <w:tc>
          <w:tcPr>
            <w:tcW w:type="dxa" w:w="1994"/>
          </w:tcPr>
          <w:p>
            <w:r>
              <w:rPr>
                <w:sz w:val="18"/>
              </w:rPr>
              <w:t>Contractor — default rate applied</w:t>
            </w:r>
          </w:p>
        </w:tc>
      </w:tr>
      <w:tr>
        <w:tc>
          <w:tcPr>
            <w:tcW w:type="dxa" w:w="1994"/>
          </w:tcPr>
          <w:p>
            <w:r>
              <w:rPr>
                <w:sz w:val="18"/>
              </w:rPr>
              <w:t>FI-20049</w:t>
            </w:r>
          </w:p>
        </w:tc>
        <w:tc>
          <w:tcPr>
            <w:tcW w:type="dxa" w:w="1994"/>
          </w:tcPr>
          <w:p>
            <w:r>
              <w:rPr>
                <w:sz w:val="18"/>
              </w:rPr>
              <w:t>120</w:t>
            </w:r>
          </w:p>
        </w:tc>
        <w:tc>
          <w:tcPr>
            <w:tcW w:type="dxa" w:w="1994"/>
          </w:tcPr>
          <w:p>
            <w:r>
              <w:rPr>
                <w:sz w:val="18"/>
              </w:rPr>
              <w:t>95</w:t>
            </w:r>
          </w:p>
        </w:tc>
        <w:tc>
          <w:tcPr>
            <w:tcW w:type="dxa" w:w="1994"/>
          </w:tcPr>
          <w:p>
            <w:r>
              <w:rPr>
                <w:sz w:val="18"/>
              </w:rPr>
              <w:t>11,400</w:t>
            </w:r>
          </w:p>
        </w:tc>
        <w:tc>
          <w:tcPr>
            <w:tcW w:type="dxa" w:w="1994"/>
          </w:tcPr>
          <w:p>
            <w:r>
              <w:rPr>
                <w:sz w:val="18"/>
              </w:rPr>
              <w:t>Standard match — Senior Analyst rate</w:t>
            </w:r>
          </w:p>
        </w:tc>
      </w:tr>
      <w:tr>
        <w:tc>
          <w:tcPr>
            <w:tcW w:type="dxa" w:w="1994"/>
          </w:tcPr>
          <w:p>
            <w:r>
              <w:rPr>
                <w:sz w:val="18"/>
              </w:rPr>
              <w:t>FI-20053</w:t>
            </w:r>
          </w:p>
        </w:tc>
        <w:tc>
          <w:tcPr>
            <w:tcW w:type="dxa" w:w="1994"/>
          </w:tcPr>
          <w:p>
            <w:r>
              <w:rPr>
                <w:sz w:val="18"/>
              </w:rPr>
              <w:t>115</w:t>
            </w:r>
          </w:p>
        </w:tc>
        <w:tc>
          <w:tcPr>
            <w:tcW w:type="dxa" w:w="1994"/>
          </w:tcPr>
          <w:p>
            <w:r>
              <w:rPr>
                <w:sz w:val="18"/>
              </w:rPr>
              <w:t>130</w:t>
            </w:r>
          </w:p>
        </w:tc>
        <w:tc>
          <w:tcPr>
            <w:tcW w:type="dxa" w:w="1994"/>
          </w:tcPr>
          <w:p>
            <w:r>
              <w:rPr>
                <w:sz w:val="18"/>
              </w:rPr>
              <w:t>14,950</w:t>
            </w:r>
          </w:p>
        </w:tc>
        <w:tc>
          <w:tcPr>
            <w:tcW w:type="dxa" w:w="1994"/>
          </w:tcPr>
          <w:p>
            <w:r>
              <w:rPr>
                <w:sz w:val="18"/>
              </w:rPr>
              <w:t>Standard match — Associate Director rate</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