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Arial" w:cs="Arial" w:eastAsia="Arial" w:hAnsi="Arial"/>
          <w:b w:val="1"/>
          <w:color w:val="1f3864"/>
          <w:sz w:val="40"/>
          <w:szCs w:val="40"/>
          <w:rtl w:val="0"/>
        </w:rPr>
        <w:t xml:space="preserve">CLOUDVERTEX SOLUTIONS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i w:val="1"/>
          <w:color w:val="2e5090"/>
          <w:sz w:val="24"/>
          <w:szCs w:val="24"/>
          <w:rtl w:val="0"/>
        </w:rPr>
        <w:t xml:space="preserve">Global Cloud Migration &amp; Transformation Partner</w:t>
      </w:r>
      <w:r w:rsidDel="00000000" w:rsidR="00000000" w:rsidRPr="00000000">
        <w:rPr>
          <w:rtl w:val="0"/>
        </w:rPr>
      </w:r>
    </w:p>
    <w:p w:rsidR="00000000" w:rsidDel="00000000" w:rsidP="00000000" w:rsidRDefault="00000000" w:rsidRPr="00000000" w14:paraId="00000003">
      <w:pPr>
        <w:spacing w:before="600" w:lineRule="auto"/>
        <w:jc w:val="center"/>
        <w:rPr/>
      </w:pPr>
      <w:r w:rsidDel="00000000" w:rsidR="00000000" w:rsidRPr="00000000">
        <w:rPr>
          <w:rFonts w:ascii="Arial" w:cs="Arial" w:eastAsia="Arial" w:hAnsi="Arial"/>
          <w:b w:val="1"/>
          <w:sz w:val="24"/>
          <w:szCs w:val="24"/>
          <w:rtl w:val="0"/>
        </w:rPr>
        <w:t xml:space="preserve">Company Credentials, Certifications &amp; Compliance Capabilities</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rFonts w:ascii="Arial" w:cs="Arial" w:eastAsia="Arial" w:hAnsi="Arial"/>
          <w:color w:val="666666"/>
          <w:sz w:val="18"/>
          <w:szCs w:val="18"/>
          <w:rtl w:val="0"/>
        </w:rPr>
        <w:t xml:space="preserve">Version 4.2 | Updated: March 2025 | Classification: Confidential</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1. Company Overview</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0"/>
          <w:szCs w:val="20"/>
          <w:rtl w:val="0"/>
        </w:rPr>
        <w:t xml:space="preserve">CloudVertex Solutions (CVS) is a global IT services and cloud transformation company headquartered in Dallas, Texas, with delivery centres in Chicago, Toronto, Bangalore, and London. Founded in 2009, CVS has grown to over 4,800 employees and specialises exclusively in enterprise cloud migration, modernisation, and managed cloud services.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0"/>
          <w:szCs w:val="20"/>
          <w:rtl w:val="0"/>
        </w:rPr>
        <w:t xml:space="preserve">CVS serves clients across financial services, healthcare, manufacturing, and energy sectors, with 62% of annual revenue derived from financial services engagements. The company generated USD 780M in revenue in FY2024, with a 23% year-over-year growth rate. Since 2014, CVS has delivered over 340 enterprise cloud migration programmes across North America, Europe, and Asia-Pacific.</w:t>
      </w:r>
      <w:r w:rsidDel="00000000" w:rsidR="00000000" w:rsidRPr="00000000">
        <w:rPr>
          <w:rtl w:val="0"/>
        </w:rPr>
      </w:r>
    </w:p>
    <w:p w:rsidR="00000000" w:rsidDel="00000000" w:rsidP="00000000" w:rsidRDefault="00000000" w:rsidRPr="00000000" w14:paraId="00000009">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1.1 Company Facts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color w:val="ffffff"/>
                <w:sz w:val="18"/>
                <w:szCs w:val="18"/>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color w:val="ffffff"/>
                <w:sz w:val="18"/>
                <w:szCs w:val="18"/>
                <w:rtl w:val="0"/>
              </w:rPr>
              <w:t xml:space="preserve">Details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0"/>
                <w:sz w:val="18"/>
                <w:szCs w:val="18"/>
                <w:rtl w:val="0"/>
              </w:rPr>
              <w:t xml:space="preserve">Legal Entity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0"/>
                <w:sz w:val="18"/>
                <w:szCs w:val="18"/>
                <w:rtl w:val="0"/>
              </w:rPr>
              <w:t xml:space="preserve">CloudVertex Solutions Inc.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0"/>
                <w:sz w:val="18"/>
                <w:szCs w:val="18"/>
                <w:rtl w:val="0"/>
              </w:rPr>
              <w:t xml:space="preserve">Headquarters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0"/>
                <w:sz w:val="18"/>
                <w:szCs w:val="18"/>
                <w:rtl w:val="0"/>
              </w:rPr>
              <w:t xml:space="preserve">Dallas, Texas, USA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0"/>
                <w:sz w:val="18"/>
                <w:szCs w:val="18"/>
                <w:rtl w:val="0"/>
              </w:rPr>
              <w:t xml:space="preserve">Founded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0"/>
                <w:sz w:val="18"/>
                <w:szCs w:val="18"/>
                <w:rtl w:val="0"/>
              </w:rPr>
              <w:t xml:space="preserve">2009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0"/>
                <w:sz w:val="18"/>
                <w:szCs w:val="18"/>
                <w:rtl w:val="0"/>
              </w:rPr>
              <w:t xml:space="preserve">Global Employees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0"/>
                <w:sz w:val="18"/>
                <w:szCs w:val="18"/>
                <w:rtl w:val="0"/>
              </w:rPr>
              <w:t xml:space="preserve">4,800+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0"/>
                <w:sz w:val="18"/>
                <w:szCs w:val="18"/>
                <w:rtl w:val="0"/>
              </w:rPr>
              <w:t xml:space="preserve">Cloud-Certified Engineers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0"/>
                <w:sz w:val="18"/>
                <w:szCs w:val="18"/>
                <w:rtl w:val="0"/>
              </w:rPr>
              <w:t xml:space="preserve">680+ (AWS: 420, Azure: 180, GCP: 80)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0"/>
                <w:sz w:val="18"/>
                <w:szCs w:val="18"/>
                <w:rtl w:val="0"/>
              </w:rPr>
              <w:t xml:space="preserve">FY2024 Revenue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0"/>
                <w:sz w:val="18"/>
                <w:szCs w:val="18"/>
                <w:rtl w:val="0"/>
              </w:rPr>
              <w:t xml:space="preserve">USD 780M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sz w:val="18"/>
                <w:szCs w:val="18"/>
                <w:rtl w:val="0"/>
              </w:rPr>
              <w:t xml:space="preserve">Financial Services Revenue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0"/>
                <w:sz w:val="18"/>
                <w:szCs w:val="18"/>
                <w:rtl w:val="0"/>
              </w:rPr>
              <w:t xml:space="preserve">62% (USD 484M)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sz w:val="18"/>
                <w:szCs w:val="18"/>
                <w:rtl w:val="0"/>
              </w:rPr>
              <w:t xml:space="preserve">Delivery Centres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sz w:val="18"/>
                <w:szCs w:val="18"/>
                <w:rtl w:val="0"/>
              </w:rPr>
              <w:t xml:space="preserve">Dallas, Chicago, Toronto, Bangalore, London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sz w:val="18"/>
                <w:szCs w:val="18"/>
                <w:rtl w:val="0"/>
              </w:rPr>
              <w:t xml:space="preserve">Cloud Migrations Delivered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sz w:val="18"/>
                <w:szCs w:val="18"/>
                <w:rtl w:val="0"/>
              </w:rPr>
              <w:t xml:space="preserve">340+ enterprise migrations since 2014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sz w:val="18"/>
                <w:szCs w:val="18"/>
                <w:rtl w:val="0"/>
              </w:rPr>
              <w:t xml:space="preserve">Average Migration 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sz w:val="18"/>
                <w:szCs w:val="18"/>
                <w:rtl w:val="0"/>
              </w:rPr>
              <w:t xml:space="preserve">500–2,000 servers; 100–400 applications</w:t>
            </w:r>
            <w:r w:rsidDel="00000000" w:rsidR="00000000" w:rsidRPr="00000000">
              <w:rPr>
                <w:rtl w:val="0"/>
              </w:rPr>
            </w:r>
          </w:p>
        </w:tc>
      </w:tr>
    </w:tbl>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1.2 Leadership Team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color w:val="ffffff"/>
                <w:sz w:val="18"/>
                <w:szCs w:val="18"/>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color w:val="ffffff"/>
                <w:sz w:val="18"/>
                <w:szCs w:val="18"/>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color w:val="ffffff"/>
                <w:sz w:val="18"/>
                <w:szCs w:val="18"/>
                <w:rtl w:val="0"/>
              </w:rPr>
              <w:t xml:space="preserve">Background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sz w:val="18"/>
                <w:szCs w:val="18"/>
                <w:rtl w:val="0"/>
              </w:rPr>
              <w:t xml:space="preserve">Sarah Mitchell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sz w:val="18"/>
                <w:szCs w:val="18"/>
                <w:rtl w:val="0"/>
              </w:rPr>
              <w:t xml:space="preserve">CEO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sz w:val="18"/>
                <w:szCs w:val="18"/>
                <w:rtl w:val="0"/>
              </w:rPr>
              <w:t xml:space="preserve">Former CTO at Fidelity Investments; 22 years in financial services technology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sz w:val="18"/>
                <w:szCs w:val="18"/>
                <w:rtl w:val="0"/>
              </w:rPr>
              <w:t xml:space="preserve">Raj Venkataraman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sz w:val="18"/>
                <w:szCs w:val="18"/>
                <w:rtl w:val="0"/>
              </w:rPr>
              <w:t xml:space="preserv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sz w:val="18"/>
                <w:szCs w:val="18"/>
                <w:rtl w:val="0"/>
              </w:rPr>
              <w:t xml:space="preserve">Ex-AWS Principal Solutions Architect; led 50+ enterprise cloud migrations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sz w:val="18"/>
                <w:szCs w:val="18"/>
                <w:rtl w:val="0"/>
              </w:rPr>
              <w:t xml:space="preserve">David Park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sz w:val="18"/>
                <w:szCs w:val="18"/>
                <w:rtl w:val="0"/>
              </w:rPr>
              <w:t xml:space="preserve">EVP Delivery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sz w:val="18"/>
                <w:szCs w:val="18"/>
                <w:rtl w:val="0"/>
              </w:rPr>
              <w:t xml:space="preserve">Former Accenture Cloud First MD; managed USD 2B+ migration portfolio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sz w:val="18"/>
                <w:szCs w:val="18"/>
                <w:rtl w:val="0"/>
              </w:rPr>
              <w:t xml:space="preserve">Lisa Chen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sz w:val="18"/>
                <w:szCs w:val="18"/>
                <w:rtl w:val="0"/>
              </w:rPr>
              <w:t xml:space="preserve">CISO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sz w:val="18"/>
                <w:szCs w:val="18"/>
                <w:rtl w:val="0"/>
              </w:rPr>
              <w:t xml:space="preserve">Former Head of InfoSec at JPMorgan Chase; CISSP, CISM certified</w:t>
            </w:r>
            <w:r w:rsidDel="00000000" w:rsidR="00000000" w:rsidRPr="00000000">
              <w:rPr>
                <w:rtl w:val="0"/>
              </w:rPr>
            </w:r>
          </w:p>
        </w:tc>
      </w:tr>
    </w:tbl>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1.3 Financial Services Track Record</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sz w:val="20"/>
          <w:szCs w:val="20"/>
          <w:rtl w:val="0"/>
        </w:rPr>
        <w:t xml:space="preserve">CloudVertex has delivered 18 cloud migration programmes in the financial services sector with programme values exceeding USD 5M each. The largest was a USD 32M engagement for a global insurance carrier involving 3,200 servers and 310 applications. Our financial services client base includes wealth management firms, broker-dealers, insurance carriers, regional banks, and asset management companies across North America.</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2. Certifications &amp; Accreditations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sz w:val="20"/>
          <w:szCs w:val="20"/>
          <w:rtl w:val="0"/>
        </w:rPr>
        <w:t xml:space="preserve">CloudVertex maintains an extensive portfolio of industry certifications and cloud provider partnerships. All certifications listed below are current and actively maintained.</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2.1 Cloud Provider Partnerships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000"/>
        <w:gridCol w:w="2860"/>
        <w:tblGridChange w:id="0">
          <w:tblGrid>
            <w:gridCol w:w="2000"/>
            <w:gridCol w:w="2500"/>
            <w:gridCol w:w="2000"/>
            <w:gridCol w:w="28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color w:val="ffffff"/>
                <w:sz w:val="18"/>
                <w:szCs w:val="18"/>
                <w:rtl w:val="0"/>
              </w:rPr>
              <w:t xml:space="preserve">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color w:val="ffffff"/>
                <w:sz w:val="18"/>
                <w:szCs w:val="18"/>
                <w:rtl w:val="0"/>
              </w:rPr>
              <w:t xml:space="preserve">Partnership 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color w:val="ffffff"/>
                <w:sz w:val="18"/>
                <w:szCs w:val="18"/>
                <w:rtl w:val="0"/>
              </w:rPr>
              <w:t xml:space="preserve">Since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color w:val="ffffff"/>
                <w:sz w:val="18"/>
                <w:szCs w:val="18"/>
                <w:rtl w:val="0"/>
              </w:rPr>
              <w:t xml:space="preserve">Key Competencies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sz w:val="18"/>
                <w:szCs w:val="18"/>
                <w:rtl w:val="0"/>
              </w:rPr>
              <w:t xml:space="preserve">AWS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sz w:val="18"/>
                <w:szCs w:val="18"/>
                <w:rtl w:val="0"/>
              </w:rPr>
              <w:t xml:space="preserve">Premier Tier Partner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sz w:val="18"/>
                <w:szCs w:val="18"/>
                <w:rtl w:val="0"/>
              </w:rPr>
              <w:t xml:space="preserve">2016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sz w:val="18"/>
                <w:szCs w:val="18"/>
                <w:rtl w:val="0"/>
              </w:rPr>
              <w:t xml:space="preserve">Migration, DevOps, Financial Services Competency, Security Competency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sz w:val="18"/>
                <w:szCs w:val="18"/>
                <w:rtl w:val="0"/>
              </w:rPr>
              <w:t xml:space="preserve">Microsoft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0"/>
                <w:sz w:val="18"/>
                <w:szCs w:val="18"/>
                <w:rtl w:val="0"/>
              </w:rPr>
              <w:t xml:space="preserve">Expert MSP Partner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0"/>
                <w:sz w:val="18"/>
                <w:szCs w:val="18"/>
                <w:rtl w:val="0"/>
              </w:rPr>
              <w:t xml:space="preserve">2018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sz w:val="18"/>
                <w:szCs w:val="18"/>
                <w:rtl w:val="0"/>
              </w:rPr>
              <w:t xml:space="preserve">Azure Expert MSP, Cloud Migration, Security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sz w:val="18"/>
                <w:szCs w:val="18"/>
                <w:rtl w:val="0"/>
              </w:rPr>
              <w:t xml:space="preserve">Google 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sz w:val="18"/>
                <w:szCs w:val="18"/>
                <w:rtl w:val="0"/>
              </w:rPr>
              <w:t xml:space="preserve">Premier Partner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sz w:val="18"/>
                <w:szCs w:val="18"/>
                <w:rtl w:val="0"/>
              </w:rPr>
              <w:t xml:space="preserve">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sz w:val="18"/>
                <w:szCs w:val="18"/>
                <w:rtl w:val="0"/>
              </w:rPr>
              <w:t xml:space="preserve">Infrastructure Modernisation</w:t>
            </w:r>
            <w:r w:rsidDel="00000000" w:rsidR="00000000" w:rsidRPr="00000000">
              <w:rPr>
                <w:rtl w:val="0"/>
              </w:rPr>
            </w:r>
          </w:p>
        </w:tc>
      </w:tr>
    </w:tbl>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2.2 Industry Certifications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2960"/>
        <w:tblGridChange w:id="0">
          <w:tblGrid>
            <w:gridCol w:w="2800"/>
            <w:gridCol w:w="1800"/>
            <w:gridCol w:w="1800"/>
            <w:gridCol w:w="2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color w:val="ffffff"/>
                <w:sz w:val="18"/>
                <w:szCs w:val="18"/>
                <w:rtl w:val="0"/>
              </w:rPr>
              <w:t xml:space="preserve">Certification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color w:val="ffffff"/>
                <w:sz w:val="18"/>
                <w:szCs w:val="18"/>
                <w:rtl w:val="0"/>
              </w:rPr>
              <w:t xml:space="preserve">Issuing Body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color w:val="ffffff"/>
                <w:sz w:val="18"/>
                <w:szCs w:val="18"/>
                <w:rtl w:val="0"/>
              </w:rPr>
              <w:t xml:space="preserve">Valid Until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color w:val="ffffff"/>
                <w:sz w:val="18"/>
                <w:szCs w:val="18"/>
                <w:rtl w:val="0"/>
              </w:rPr>
              <w:t xml:space="preserve">Scope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sz w:val="18"/>
                <w:szCs w:val="18"/>
                <w:rtl w:val="0"/>
              </w:rPr>
              <w:t xml:space="preserve">ISO 27001:2022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sz w:val="18"/>
                <w:szCs w:val="18"/>
                <w:rtl w:val="0"/>
              </w:rPr>
              <w:t xml:space="preserve">BSI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sz w:val="18"/>
                <w:szCs w:val="18"/>
                <w:rtl w:val="0"/>
              </w:rPr>
              <w:t xml:space="preserve">March 2027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sz w:val="18"/>
                <w:szCs w:val="18"/>
                <w:rtl w:val="0"/>
              </w:rPr>
              <w:t xml:space="preserve">All delivery centres; cloud migration and managed services operations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0"/>
                <w:sz w:val="18"/>
                <w:szCs w:val="18"/>
                <w:rtl w:val="0"/>
              </w:rPr>
              <w:t xml:space="preserve">SOC 2 Type 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sz w:val="18"/>
                <w:szCs w:val="18"/>
                <w:rtl w:val="0"/>
              </w:rPr>
              <w:t xml:space="preserve">Deloitte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sz w:val="18"/>
                <w:szCs w:val="18"/>
                <w:rtl w:val="0"/>
              </w:rPr>
              <w:t xml:space="preserve">December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sz w:val="18"/>
                <w:szCs w:val="18"/>
                <w:rtl w:val="0"/>
              </w:rPr>
              <w:t xml:space="preserve">Cloud migration delivery, managed services, security operations centre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0"/>
                <w:sz w:val="18"/>
                <w:szCs w:val="18"/>
                <w:rtl w:val="0"/>
              </w:rPr>
              <w:t xml:space="preserve">ISO 20000-1:2018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0"/>
                <w:sz w:val="18"/>
                <w:szCs w:val="18"/>
                <w:rtl w:val="0"/>
              </w:rPr>
              <w:t xml:space="preserve">BSI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0"/>
                <w:sz w:val="18"/>
                <w:szCs w:val="18"/>
                <w:rtl w:val="0"/>
              </w:rPr>
              <w:t xml:space="preserve">June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0"/>
                <w:sz w:val="18"/>
                <w:szCs w:val="18"/>
                <w:rtl w:val="0"/>
              </w:rPr>
              <w:t xml:space="preserve">IT service management across all delivery centres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0"/>
                <w:sz w:val="18"/>
                <w:szCs w:val="18"/>
                <w:rtl w:val="0"/>
              </w:rPr>
              <w:t xml:space="preserve">ISO 9001:2015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0"/>
                <w:sz w:val="18"/>
                <w:szCs w:val="18"/>
                <w:rtl w:val="0"/>
              </w:rPr>
              <w:t xml:space="preserve">Bureau Veritas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0"/>
                <w:sz w:val="18"/>
                <w:szCs w:val="18"/>
                <w:rtl w:val="0"/>
              </w:rPr>
              <w:t xml:space="preserve">September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sz w:val="18"/>
                <w:szCs w:val="18"/>
                <w:rtl w:val="0"/>
              </w:rPr>
              <w:t xml:space="preserve">Quality management for professional services delivery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sz w:val="18"/>
                <w:szCs w:val="18"/>
                <w:rtl w:val="0"/>
              </w:rPr>
              <w:t xml:space="preserve">PCI-DSS v4.0 Compliant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sz w:val="18"/>
                <w:szCs w:val="18"/>
                <w:rtl w:val="0"/>
              </w:rPr>
              <w:t xml:space="preserve">Coalfire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sz w:val="18"/>
                <w:szCs w:val="18"/>
                <w:rtl w:val="0"/>
              </w:rPr>
              <w:t xml:space="preserve">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0"/>
                <w:sz w:val="18"/>
                <w:szCs w:val="18"/>
                <w:rtl w:val="0"/>
              </w:rPr>
              <w:t xml:space="preserve">Cloud environments hosting financial services workloads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sz w:val="18"/>
                <w:szCs w:val="18"/>
                <w:rtl w:val="0"/>
              </w:rPr>
              <w:t xml:space="preserve">CMMI Level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sz w:val="18"/>
                <w:szCs w:val="18"/>
                <w:rtl w:val="0"/>
              </w:rPr>
              <w:t xml:space="preserve">ISACA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sz w:val="18"/>
                <w:szCs w:val="18"/>
                <w:rtl w:val="0"/>
              </w:rPr>
              <w:t xml:space="preserve">August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sz w:val="18"/>
                <w:szCs w:val="18"/>
                <w:rtl w:val="0"/>
              </w:rPr>
              <w:t xml:space="preserve">Software development and service delivery processes</w:t>
            </w:r>
            <w:r w:rsidDel="00000000" w:rsidR="00000000" w:rsidRPr="00000000">
              <w:rPr>
                <w:rtl w:val="0"/>
              </w:rPr>
            </w:r>
          </w:p>
        </w:tc>
      </w:tr>
    </w:tbl>
    <w:p w:rsidR="00000000" w:rsidDel="00000000" w:rsidP="00000000" w:rsidRDefault="00000000" w:rsidRPr="00000000" w14:paraId="00000063">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2.3 Team Certifications Summary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color w:val="ffffff"/>
                <w:sz w:val="18"/>
                <w:szCs w:val="18"/>
                <w:rtl w:val="0"/>
              </w:rPr>
              <w:t xml:space="preserve">Certification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color w:val="ffffff"/>
                <w:sz w:val="18"/>
                <w:szCs w:val="18"/>
                <w:rtl w:val="0"/>
              </w:rPr>
              <w:t xml:space="preserve">Count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sz w:val="18"/>
                <w:szCs w:val="18"/>
                <w:rtl w:val="0"/>
              </w:rPr>
              <w:t xml:space="preserve">AWS Solutions Architect – Professional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sz w:val="18"/>
                <w:szCs w:val="18"/>
                <w:rtl w:val="0"/>
              </w:rPr>
              <w:t xml:space="preserve">185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sz w:val="18"/>
                <w:szCs w:val="18"/>
                <w:rtl w:val="0"/>
              </w:rPr>
              <w:t xml:space="preserve">AWS DevOps Engineer – Professional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sz w:val="18"/>
                <w:szCs w:val="18"/>
                <w:rtl w:val="0"/>
              </w:rPr>
              <w:t xml:space="preserve">92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sz w:val="18"/>
                <w:szCs w:val="18"/>
                <w:rtl w:val="0"/>
              </w:rPr>
              <w:t xml:space="preserve">AWS Security Specialty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sz w:val="18"/>
                <w:szCs w:val="18"/>
                <w:rtl w:val="0"/>
              </w:rPr>
              <w:t xml:space="preserve">67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sz w:val="18"/>
                <w:szCs w:val="18"/>
                <w:rtl w:val="0"/>
              </w:rPr>
              <w:t xml:space="preserve">Azure Solutions Architect Expert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sz w:val="18"/>
                <w:szCs w:val="18"/>
                <w:rtl w:val="0"/>
              </w:rPr>
              <w:t xml:space="preserve">110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sz w:val="18"/>
                <w:szCs w:val="18"/>
                <w:rtl w:val="0"/>
              </w:rPr>
              <w:t xml:space="preserve">Azure Security Engineer Associate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sz w:val="18"/>
                <w:szCs w:val="18"/>
                <w:rtl w:val="0"/>
              </w:rPr>
              <w:t xml:space="preserve">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sz w:val="18"/>
                <w:szCs w:val="18"/>
                <w:rtl w:val="0"/>
              </w:rPr>
              <w:t xml:space="preserve">Terraform Associate / HashiCorp Certified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sz w:val="18"/>
                <w:szCs w:val="18"/>
                <w:rtl w:val="0"/>
              </w:rPr>
              <w:t xml:space="preserve">134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sz w:val="18"/>
                <w:szCs w:val="18"/>
                <w:rtl w:val="0"/>
              </w:rPr>
              <w:t xml:space="preserve">CISSP / CISM / CISA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sz w:val="18"/>
                <w:szCs w:val="18"/>
                <w:rtl w:val="0"/>
              </w:rPr>
              <w:t xml:space="preserve">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sz w:val="18"/>
                <w:szCs w:val="18"/>
                <w:rtl w:val="0"/>
              </w:rPr>
              <w:t xml:space="preserve">ITIL 4 Foundation or above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sz w:val="18"/>
                <w:szCs w:val="18"/>
                <w:rtl w:val="0"/>
              </w:rPr>
              <w:t xml:space="preserve">210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sz w:val="18"/>
                <w:szCs w:val="18"/>
                <w:rtl w:val="0"/>
              </w:rPr>
              <w:t xml:space="preserve">PMP / PRINCE2 Practitioner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sz w:val="18"/>
                <w:szCs w:val="18"/>
                <w:rtl w:val="0"/>
              </w:rPr>
              <w:t xml:space="preserve">88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sz w:val="18"/>
                <w:szCs w:val="18"/>
                <w:rtl w:val="0"/>
              </w:rPr>
              <w:t xml:space="preserve">Total Cloud Certifications Held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sz w:val="18"/>
                <w:szCs w:val="18"/>
                <w:rtl w:val="0"/>
              </w:rPr>
              <w:t xml:space="preserve">680+ individuals, 1,400+ total certifications</w:t>
            </w: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3. Regulatory Compliance Capabilities</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20"/>
          <w:szCs w:val="20"/>
          <w:rtl w:val="0"/>
        </w:rPr>
        <w:t xml:space="preserve">CloudVertex has deep experience designing and operating cloud environments that meet stringent financial services regulatory requirements. The following sections describe our capabilities across key regulatory frameworks.</w:t>
      </w:r>
      <w:r w:rsidDel="00000000" w:rsidR="00000000" w:rsidRPr="00000000">
        <w:rPr>
          <w:rtl w:val="0"/>
        </w:rPr>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3.1 PCI-DSS v4.0</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sz w:val="20"/>
          <w:szCs w:val="20"/>
          <w:rtl w:val="0"/>
        </w:rPr>
        <w:t xml:space="preserve">CloudVertex designs all financial services cloud environments to be PCI-DSS v4.0 compliant by default. Our standard Landing Zone for financial services includes network segmentation isolating cardholder data environments (CDE), encryption of all data at rest using AES-256 via AWS KMS with customer-managed keys (CMK), encryption in transit using TLS 1.3 (minimum TLS 1.2), centralised logging to a tamper-proof audit account with CloudTrail and GuardDuty, automated compliance scanning using AWS Config rules mapped to PCI-DSS v4.0 controls, and vulnerability management integrated with AWS Inspector and third-party SAST/DAST tools.</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sz w:val="20"/>
          <w:szCs w:val="20"/>
          <w:rtl w:val="0"/>
        </w:rPr>
        <w:t xml:space="preserve">We have delivered PCI-DSS compliant cloud environments for 14 financial services clients in the past 3 years, including 3 engagements that passed QSA audit within the first cycle post-migration.</w:t>
      </w: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3.2 SEC Rule 17a-4 (WORM Storage)</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sz w:val="20"/>
          <w:szCs w:val="20"/>
          <w:rtl w:val="0"/>
        </w:rPr>
        <w:t xml:space="preserve">For broker-dealer and investment advisory clients subject to SEC Rule 17a-4, CloudVertex implements Write Once Read Many (WORM) storage using AWS S3 Object Lock in Compliance Mode with Governance bypass disabled, retention policies aligned to SEC-mandated retention periods (typically 6 years for transaction records), immutable audit trails with cryptographic verification, and automated lifecycle policies for retention management. Our WORM implementation has been validated by independent auditors (Deloitte) for 4 financial services clients.</w:t>
      </w: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3.3 FINRA Data Retention</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sz w:val="20"/>
          <w:szCs w:val="20"/>
          <w:rtl w:val="0"/>
        </w:rPr>
        <w:t xml:space="preserve">CloudVertex implements FINRA-compliant data retention architectures using tiered storage (S3 Standard for active, S3 Glacier for archive), automated retention tagging aligned to FINRA Rule 4511 requirements, cross-region replication for redundancy, and integration with eDiscovery platforms for regulatory inquiry response.</w:t>
      </w:r>
      <w:r w:rsidDel="00000000" w:rsidR="00000000" w:rsidRPr="00000000">
        <w:rPr>
          <w:rtl w:val="0"/>
        </w:rPr>
      </w:r>
    </w:p>
    <w:p w:rsidR="00000000" w:rsidDel="00000000" w:rsidP="00000000" w:rsidRDefault="00000000" w:rsidRPr="00000000" w14:paraId="00000084">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3.4 Data Residency &amp; Sovereignty</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sz w:val="20"/>
          <w:szCs w:val="20"/>
          <w:rtl w:val="0"/>
        </w:rPr>
        <w:t xml:space="preserve">CloudVertex enforces data residency requirements through AWS Organizations Service Control Policies (SCPs) that restrict resource creation to approved US regions only, network architecture that ensures no data transits through non-US infrastructure, AWS PrivateLink for all inter-service communication to prevent data traversal over public internet, and automated compliance checks that flag any resource provisioned outside approved regions.</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sz w:val="20"/>
          <w:szCs w:val="20"/>
          <w:rtl w:val="0"/>
        </w:rPr>
        <w:t xml:space="preserve">For US-based financial services clients, we typically restrict all production workloads to us-east-1 (N. Virginia) and us-east-2 (Ohio) with DR in us-west-2 (Oregon), ensuring 100% US data residency.</w:t>
      </w: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3.5 Encryption Standards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0"/>
          <w:szCs w:val="20"/>
          <w:rtl w:val="0"/>
        </w:rPr>
        <w:t xml:space="preserve">Our standard encryption posture for financial services engagements includes AES-256 encryption at rest for all storage services (EBS, S3, RDS, DynamoDB) using AWS KMS. For mission-critical workloads, we deploy customer-managed keys (CMK) with annual key rotation controlled by the client. All data in transit is encrypted using TLS 1.2 at minimum, with TLS 1.3 preferred where application compatibility permits. Mutual TLS is implemented for inter-service communication in high-security environments.</w:t>
      </w: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3.6 Network Connectivity</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0"/>
          <w:szCs w:val="20"/>
          <w:rtl w:val="0"/>
        </w:rPr>
        <w:t xml:space="preserve">CloudVertex designs dedicated high-bandwidth connectivity for enterprise clients using AWS Direct Connect or Azure ExpressRoute. Our standard financial services deployment uses dual 10 Gbps Direct Connect circuits with BGP failover between primary and secondary paths. We have deployed this configuration for 12 financial services clients. VPN backup over public internet is maintained for emergency connectivity scenarios.</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4. ServiceNow Integration Capability</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sz w:val="20"/>
          <w:szCs w:val="20"/>
          <w:rtl w:val="0"/>
        </w:rPr>
        <w:t xml:space="preserve">CloudVertex is a ServiceNow Technology Partner with a dedicated integration practice of 24 certified ServiceNow developers and architects. Our cloud migration engagements routinely include deep ServiceNow integration as part of the operational handover.</w:t>
      </w: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4.1 Platform Experience</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sz w:val="20"/>
          <w:szCs w:val="20"/>
          <w:rtl w:val="0"/>
        </w:rPr>
        <w:t xml:space="preserve">We have delivered ServiceNow cloud integrations for 9 enterprise clients, including 5 on the Tokyo release and 2 on the Utah release. Our standard integration scope covers CMDB auto-population from AWS Config and Terraform state, bidirectional incident management (CloudWatch/PagerDuty to ServiceNow Incident), automated change request creation for all cloud infrastructure changes via CI/CD pipeline hooks, service mapping and dependency visualization synced from cloud-native discovery, and cost management dashboards integrated with ServiceNow ITFM module.</w:t>
      </w: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4.2 Pre-Built Integration Package</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0"/>
          <w:szCs w:val="20"/>
          <w:rtl w:val="0"/>
        </w:rPr>
        <w:t xml:space="preserve">CloudVertex has developed a pre-built ServiceNow-AWS integration package (CVS-SNOW-AWS-v3.2) which includes 14 pre-configured integration flows covering CMDB synchronisation, incident management, change management, and IT financial management. This package typically reduces integration timeline from 8–12 weeks to 3–4 weeks for clients running Tokyo or Utah releases.</w:t>
      </w:r>
      <w:r w:rsidDel="00000000" w:rsidR="00000000" w:rsidRPr="00000000">
        <w:rPr>
          <w:rtl w:val="0"/>
        </w:rPr>
      </w:r>
    </w:p>
    <w:p w:rsidR="00000000" w:rsidDel="00000000" w:rsidP="00000000" w:rsidRDefault="00000000" w:rsidRPr="00000000" w14:paraId="00000092">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4.3 Disaster Recovery Architecture Capabilities</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sz w:val="20"/>
          <w:szCs w:val="20"/>
          <w:rtl w:val="0"/>
        </w:rPr>
        <w:t xml:space="preserve">CloudVertex designs multi-region DR architectures tailored to application criticality tiers. For mission-critical workloads requiring near-zero downtime, we deploy Active-Active architectures across two US regions using AWS Global Accelerator, Route 53 health checks, and Aurora Global Database, typically achieving RTO of 10 minutes and RPO of 3 minutes. For business-critical workloads, we use Warm Standby patterns achieving RTO of 2 hours and RPO of 30 minutes. For standard workloads, Pilot Light architectures deliver RTO of 12 hours and RPO of 2 hours. We validate all RTO/RPO targets using our CVS-DRTest automated framework prior to go-live, and recommend quarterly DR testing for mission-critical, semi-annual for business-critical, and annual for standard workloads.</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4.4 Infrastructure as Code Practice</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sz w:val="20"/>
          <w:szCs w:val="20"/>
          <w:rtl w:val="0"/>
        </w:rPr>
        <w:t xml:space="preserve">CloudVertex enforces a strict Infrastructure as Code (IaC) policy across all client engagements. 100% of cloud infrastructure is provisioned via Terraform, with no manual console access permitted in production environments. Our GitOps pipeline uses Atlantis for Terraform plan/apply workflows with mandatory peer review. All infrastructure changes are version-controlled, auditable, and reproducible. For clients using AWS-native tooling, we also support AWS CloudFormation, though Terraform is our primary recommendation due to its multi-cloud flexibility.</w:t>
      </w:r>
      <w:r w:rsidDel="00000000" w:rsidR="00000000" w:rsidRPr="00000000">
        <w:rPr>
          <w:rtl w:val="0"/>
        </w:rPr>
      </w:r>
    </w:p>
    <w:p w:rsidR="00000000" w:rsidDel="00000000" w:rsidP="00000000" w:rsidRDefault="00000000" w:rsidRPr="00000000" w14:paraId="00000096">
      <w:pPr>
        <w:spacing w:before="400" w:lineRule="auto"/>
        <w:jc w:val="center"/>
        <w:rPr/>
      </w:pPr>
      <w:r w:rsidDel="00000000" w:rsidR="00000000" w:rsidRPr="00000000">
        <w:rPr>
          <w:rFonts w:ascii="Arial" w:cs="Arial" w:eastAsia="Arial" w:hAnsi="Arial"/>
          <w:i w:val="1"/>
          <w:color w:val="888888"/>
          <w:sz w:val="18"/>
          <w:szCs w:val="18"/>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8">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7">
    <w:pPr>
      <w:jc w:val="right"/>
      <w:rPr/>
    </w:pPr>
    <w:r w:rsidDel="00000000" w:rsidR="00000000" w:rsidRPr="00000000">
      <w:rPr>
        <w:rFonts w:ascii="Arial" w:cs="Arial" w:eastAsia="Arial" w:hAnsi="Arial"/>
        <w:i w:val="1"/>
        <w:color w:val="888888"/>
        <w:sz w:val="16"/>
        <w:szCs w:val="16"/>
        <w:rtl w:val="0"/>
      </w:rPr>
      <w:t xml:space="preserve">CloudVertex Solutions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i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