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before="2400" w:lineRule="auto"/>
        <w:jc w:val="center"/>
        <w:rPr/>
      </w:pPr>
      <w:r w:rsidDel="00000000" w:rsidR="00000000" w:rsidRPr="00000000">
        <w:rPr>
          <w:rFonts w:ascii="Arial" w:cs="Arial" w:eastAsia="Arial" w:hAnsi="Arial"/>
          <w:b w:val="1"/>
          <w:color w:val="1f3864"/>
          <w:sz w:val="40"/>
          <w:szCs w:val="40"/>
          <w:rtl w:val="0"/>
        </w:rPr>
        <w:t xml:space="preserve">CLOUDVERTEX SOLUTIONS</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Arial" w:cs="Arial" w:eastAsia="Arial" w:hAnsi="Arial"/>
          <w:b w:val="1"/>
          <w:sz w:val="24"/>
          <w:szCs w:val="24"/>
          <w:rtl w:val="0"/>
        </w:rPr>
        <w:t xml:space="preserve">End-to-End Cloud Migration Methodology, Tooling &amp; Accelerators</w:t>
      </w:r>
      <w:r w:rsidDel="00000000" w:rsidR="00000000" w:rsidRPr="00000000">
        <w:rPr>
          <w:rtl w:val="0"/>
        </w:rPr>
      </w:r>
    </w:p>
    <w:p w:rsidR="00000000" w:rsidDel="00000000" w:rsidP="00000000" w:rsidRDefault="00000000" w:rsidRPr="00000000" w14:paraId="00000003">
      <w:pPr>
        <w:spacing w:before="200" w:lineRule="auto"/>
        <w:jc w:val="center"/>
        <w:rPr/>
      </w:pPr>
      <w:r w:rsidDel="00000000" w:rsidR="00000000" w:rsidRPr="00000000">
        <w:rPr>
          <w:rFonts w:ascii="Arial" w:cs="Arial" w:eastAsia="Arial" w:hAnsi="Arial"/>
          <w:color w:val="666666"/>
          <w:sz w:val="18"/>
          <w:szCs w:val="18"/>
          <w:rtl w:val="0"/>
        </w:rPr>
        <w:t xml:space="preserve">Version 6.1 | Updated: March 2025 | Confidential</w:t>
      </w:r>
      <w:r w:rsidDel="00000000" w:rsidR="00000000" w:rsidRPr="00000000">
        <w:rPr>
          <w:rtl w:val="0"/>
        </w:rPr>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spacing w:after="160" w:before="300" w:lineRule="auto"/>
        <w:rPr/>
      </w:pPr>
      <w:r w:rsidDel="00000000" w:rsidR="00000000" w:rsidRPr="00000000">
        <w:rPr>
          <w:rFonts w:ascii="Arial" w:cs="Arial" w:eastAsia="Arial" w:hAnsi="Arial"/>
          <w:b w:val="1"/>
          <w:color w:val="1f3864"/>
          <w:sz w:val="32"/>
          <w:szCs w:val="32"/>
          <w:rtl w:val="0"/>
        </w:rPr>
        <w:t xml:space="preserve">1. Discovery &amp; Assessment</w:t>
      </w: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rFonts w:ascii="Arial" w:cs="Arial" w:eastAsia="Arial" w:hAnsi="Arial"/>
          <w:sz w:val="20"/>
          <w:szCs w:val="20"/>
          <w:rtl w:val="0"/>
        </w:rPr>
        <w:t xml:space="preserve">CloudVertex’s Discovery &amp; Assessment phase establishes a data-driven migration baseline using automated tooling, expert analysis, and structured workshops.</w:t>
      </w:r>
      <w:r w:rsidDel="00000000" w:rsidR="00000000" w:rsidRPr="00000000">
        <w:rPr>
          <w:rtl w:val="0"/>
        </w:rPr>
      </w:r>
    </w:p>
    <w:p w:rsidR="00000000" w:rsidDel="00000000" w:rsidP="00000000" w:rsidRDefault="00000000" w:rsidRPr="00000000" w14:paraId="00000007">
      <w:pPr>
        <w:pStyle w:val="Heading2"/>
        <w:spacing w:after="120" w:before="240" w:lineRule="auto"/>
        <w:rPr/>
      </w:pPr>
      <w:r w:rsidDel="00000000" w:rsidR="00000000" w:rsidRPr="00000000">
        <w:rPr>
          <w:rFonts w:ascii="Arial" w:cs="Arial" w:eastAsia="Arial" w:hAnsi="Arial"/>
          <w:b w:val="1"/>
          <w:color w:val="2e5090"/>
          <w:sz w:val="26"/>
          <w:szCs w:val="26"/>
          <w:rtl w:val="0"/>
        </w:rPr>
        <w:t xml:space="preserve">1.1 Discovery Tooling</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Fonts w:ascii="Arial" w:cs="Arial" w:eastAsia="Arial" w:hAnsi="Arial"/>
          <w:sz w:val="20"/>
          <w:szCs w:val="20"/>
          <w:rtl w:val="0"/>
        </w:rPr>
        <w:t xml:space="preserve">CloudVertex deploys a multi-tool discovery approach to ensure 100% inventory coverage:</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AWS Migration Evaluator (formerly TSO Logic) – Primary tool for compute/storage utilisation profiling and TCO modelling. Agentless collection via VMware vCenter integration.</w:t>
      </w:r>
    </w:p>
    <w:p w:rsidR="00000000" w:rsidDel="00000000" w:rsidP="00000000" w:rsidRDefault="00000000" w:rsidRPr="00000000" w14:paraId="000000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CloudAmize – Application-level dependency mapping with deep packet inspection. Deployed as lightweight agents on all servers.</w:t>
      </w:r>
    </w:p>
    <w:p w:rsidR="00000000" w:rsidDel="00000000" w:rsidP="00000000" w:rsidRDefault="00000000" w:rsidRPr="00000000" w14:paraId="000000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CVS-DiscoverX (Proprietary) – Our custom orchestration layer that aggregates data from multiple discovery tools, normalises output, and generates unified inventory reports.</w:t>
      </w:r>
    </w:p>
    <w:p w:rsidR="00000000" w:rsidDel="00000000" w:rsidP="00000000" w:rsidRDefault="00000000" w:rsidRPr="00000000" w14:paraId="000000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Nmap/Netflow Analysis – For restricted network zones where agent deployment is not permitted. We use passive network analysis to infer dependencies without installing software.</w:t>
      </w:r>
    </w:p>
    <w:p w:rsidR="00000000" w:rsidDel="00000000" w:rsidP="00000000" w:rsidRDefault="00000000" w:rsidRPr="00000000" w14:paraId="0000000D">
      <w:pPr>
        <w:spacing w:after="120" w:lineRule="auto"/>
        <w:rPr/>
      </w:pPr>
      <w:r w:rsidDel="00000000" w:rsidR="00000000" w:rsidRPr="00000000">
        <w:rPr>
          <w:rFonts w:ascii="Arial" w:cs="Arial" w:eastAsia="Arial" w:hAnsi="Arial"/>
          <w:sz w:val="20"/>
          <w:szCs w:val="20"/>
          <w:rtl w:val="0"/>
        </w:rPr>
        <w:t xml:space="preserve">For environments with restricted network zones (common in financial services), we deploy a staged approach: Phase 1 uses agentless VMware API-based discovery for virtualised workloads, Phase 2 uses network traffic analysis (NetFlow/sFlow) for dependency inference in DMZ and restricted zones, and Phase 3 deploys lightweight agents only where agentless methods cannot provide sufficient fidelity, with security team approval.</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rFonts w:ascii="Arial" w:cs="Arial" w:eastAsia="Arial" w:hAnsi="Arial"/>
          <w:sz w:val="20"/>
          <w:szCs w:val="20"/>
          <w:rtl w:val="0"/>
        </w:rPr>
        <w:t xml:space="preserve">We guarantee 100% inventory coverage through a reconciliation process that cross-references discovery tool output against CMDB records, DNS entries, and network device ARP tables. Any discrepancies trigger manual investigation.</w:t>
      </w:r>
      <w:r w:rsidDel="00000000" w:rsidR="00000000" w:rsidRPr="00000000">
        <w:rPr>
          <w:rtl w:val="0"/>
        </w:rPr>
      </w:r>
    </w:p>
    <w:p w:rsidR="00000000" w:rsidDel="00000000" w:rsidP="00000000" w:rsidRDefault="00000000" w:rsidRPr="00000000" w14:paraId="0000000F">
      <w:pPr>
        <w:pStyle w:val="Heading2"/>
        <w:spacing w:after="120" w:before="240" w:lineRule="auto"/>
        <w:rPr/>
      </w:pPr>
      <w:r w:rsidDel="00000000" w:rsidR="00000000" w:rsidRPr="00000000">
        <w:rPr>
          <w:rFonts w:ascii="Arial" w:cs="Arial" w:eastAsia="Arial" w:hAnsi="Arial"/>
          <w:b w:val="1"/>
          <w:color w:val="2e5090"/>
          <w:sz w:val="26"/>
          <w:szCs w:val="26"/>
          <w:rtl w:val="0"/>
        </w:rPr>
        <w:t xml:space="preserve">1.2 Application Dependency Mapping</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Fonts w:ascii="Arial" w:cs="Arial" w:eastAsia="Arial" w:hAnsi="Arial"/>
          <w:sz w:val="20"/>
          <w:szCs w:val="20"/>
          <w:rtl w:val="0"/>
        </w:rPr>
        <w:t xml:space="preserve">Our ADM methodology follows a three-layer approach:</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Network Layer – TCP/UDP connection mapping over 30-day observation period using CloudAmize agents. Captures all inter-application communication patterns.</w:t>
      </w:r>
    </w:p>
    <w:p w:rsidR="00000000" w:rsidDel="00000000" w:rsidP="00000000" w:rsidRDefault="00000000" w:rsidRPr="00000000" w14:paraId="000000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Application Layer – Deep analysis of configuration files, connection strings, API endpoints, and middleware configurations. Identifies logical dependencies not visible at network level.</w:t>
      </w:r>
    </w:p>
    <w:p w:rsidR="00000000" w:rsidDel="00000000" w:rsidP="00000000" w:rsidRDefault="00000000" w:rsidRPr="00000000" w14:paraId="000000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Business Layer – Stakeholder interviews and workshop-driven mapping to capture business process dependencies that may not manifest as direct technical connections.</w:t>
      </w:r>
    </w:p>
    <w:p w:rsidR="00000000" w:rsidDel="00000000" w:rsidP="00000000" w:rsidRDefault="00000000" w:rsidRPr="00000000" w14:paraId="00000014">
      <w:pPr>
        <w:spacing w:after="120" w:lineRule="auto"/>
        <w:rPr/>
      </w:pPr>
      <w:r w:rsidDel="00000000" w:rsidR="00000000" w:rsidRPr="00000000">
        <w:rPr>
          <w:rFonts w:ascii="Arial" w:cs="Arial" w:eastAsia="Arial" w:hAnsi="Arial"/>
          <w:sz w:val="20"/>
          <w:szCs w:val="20"/>
          <w:rtl w:val="0"/>
        </w:rPr>
        <w:t xml:space="preserve">For undocumented dependencies, we use our proprietary Dependency Inference Engine which applies machine learning to network traffic patterns to identify probable dependencies with confidence scores. Dependencies with confidence below 80% are flagged for manual validation.</w:t>
      </w: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rFonts w:ascii="Arial" w:cs="Arial" w:eastAsia="Arial" w:hAnsi="Arial"/>
          <w:sz w:val="20"/>
          <w:szCs w:val="20"/>
          <w:rtl w:val="0"/>
        </w:rPr>
        <w:t xml:space="preserve">For legacy applications with no owners, we follow a structured orphan application protocol: identify the last known user/modifier via CMDB and Active Directory logs, broadcast application ownership inquiries to business unit heads, and assign interim ownership to IT operations while classification proceeds.</w:t>
      </w:r>
      <w:r w:rsidDel="00000000" w:rsidR="00000000" w:rsidRPr="00000000">
        <w:rPr>
          <w:rtl w:val="0"/>
        </w:rPr>
      </w:r>
    </w:p>
    <w:p w:rsidR="00000000" w:rsidDel="00000000" w:rsidP="00000000" w:rsidRDefault="00000000" w:rsidRPr="00000000" w14:paraId="00000016">
      <w:pPr>
        <w:pStyle w:val="Heading2"/>
        <w:spacing w:after="120" w:before="240" w:lineRule="auto"/>
        <w:rPr/>
      </w:pPr>
      <w:r w:rsidDel="00000000" w:rsidR="00000000" w:rsidRPr="00000000">
        <w:rPr>
          <w:rFonts w:ascii="Arial" w:cs="Arial" w:eastAsia="Arial" w:hAnsi="Arial"/>
          <w:b w:val="1"/>
          <w:color w:val="2e5090"/>
          <w:sz w:val="26"/>
          <w:szCs w:val="26"/>
          <w:rtl w:val="0"/>
        </w:rPr>
        <w:t xml:space="preserve">1.3 Application Classification (6-R Framework)</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rFonts w:ascii="Arial" w:cs="Arial" w:eastAsia="Arial" w:hAnsi="Arial"/>
          <w:sz w:val="20"/>
          <w:szCs w:val="20"/>
          <w:rtl w:val="0"/>
        </w:rPr>
        <w:t xml:space="preserve">CloudVertex applies a modified 6-R framework for regulated industries that adds a Regulatory Override decision gate. Even when the technically optimal strategy is Replatform or Refactor, we evaluate regulatory constraints that may force a Retain or Rehost decision.</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Fonts w:ascii="Arial" w:cs="Arial" w:eastAsia="Arial" w:hAnsi="Arial"/>
          <w:sz w:val="20"/>
          <w:szCs w:val="20"/>
          <w:rtl w:val="0"/>
        </w:rPr>
        <w:t xml:space="preserve">Our decision tree for financial services applies these rules: applications subject to regulatory change freezes default to Rehost unless the regulator has provided explicit written guidance, applications processing PCI-scoped data are evaluated for Replatform only if the target platform has achieved PCI-DSS attestation, and core banking platforms on legacy mainframes are recommended for Retain with API-layer modernisation unless the client has a 3+ year modernisation roadmap.</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Fonts w:ascii="Arial" w:cs="Arial" w:eastAsia="Arial" w:hAnsi="Arial"/>
          <w:sz w:val="20"/>
          <w:szCs w:val="20"/>
          <w:rtl w:val="0"/>
        </w:rPr>
        <w:t xml:space="preserve">We document the regulatory rationale for each classification decision so that compliance teams can audit the migration strategy independently.</w:t>
      </w:r>
      <w:r w:rsidDel="00000000" w:rsidR="00000000" w:rsidRPr="00000000">
        <w:rPr>
          <w:rtl w:val="0"/>
        </w:rPr>
      </w:r>
    </w:p>
    <w:p w:rsidR="00000000" w:rsidDel="00000000" w:rsidP="00000000" w:rsidRDefault="00000000" w:rsidRPr="00000000" w14:paraId="0000001A">
      <w:pPr>
        <w:pStyle w:val="Heading2"/>
        <w:spacing w:after="120" w:before="240" w:lineRule="auto"/>
        <w:rPr/>
      </w:pPr>
      <w:r w:rsidDel="00000000" w:rsidR="00000000" w:rsidRPr="00000000">
        <w:rPr>
          <w:rFonts w:ascii="Arial" w:cs="Arial" w:eastAsia="Arial" w:hAnsi="Arial"/>
          <w:b w:val="1"/>
          <w:color w:val="2e5090"/>
          <w:sz w:val="26"/>
          <w:szCs w:val="26"/>
          <w:rtl w:val="0"/>
        </w:rPr>
        <w:t xml:space="preserve">1.4 TCO Modelling</w:t>
      </w:r>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rFonts w:ascii="Arial" w:cs="Arial" w:eastAsia="Arial" w:hAnsi="Arial"/>
          <w:sz w:val="20"/>
          <w:szCs w:val="20"/>
          <w:rtl w:val="0"/>
        </w:rPr>
        <w:t xml:space="preserve">Our TCO model is a 3-year forward-looking comparison structured into four cost categories: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tcPr>
          <w:p w:rsidR="00000000" w:rsidDel="00000000" w:rsidP="00000000" w:rsidRDefault="00000000" w:rsidRPr="00000000" w14:paraId="0000001C">
            <w:pPr>
              <w:rPr/>
            </w:pPr>
            <w:r w:rsidDel="00000000" w:rsidR="00000000" w:rsidRPr="00000000">
              <w:rPr>
                <w:rFonts w:ascii="Arial" w:cs="Arial" w:eastAsia="Arial" w:hAnsi="Arial"/>
                <w:b w:val="1"/>
                <w:color w:val="ffffff"/>
                <w:sz w:val="18"/>
                <w:szCs w:val="18"/>
                <w:rtl w:val="0"/>
              </w:rPr>
              <w:t xml:space="preserve">Cost Category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tcPr>
          <w:p w:rsidR="00000000" w:rsidDel="00000000" w:rsidP="00000000" w:rsidRDefault="00000000" w:rsidRPr="00000000" w14:paraId="0000001D">
            <w:pPr>
              <w:rPr/>
            </w:pPr>
            <w:r w:rsidDel="00000000" w:rsidR="00000000" w:rsidRPr="00000000">
              <w:rPr>
                <w:rFonts w:ascii="Arial" w:cs="Arial" w:eastAsia="Arial" w:hAnsi="Arial"/>
                <w:b w:val="1"/>
                <w:color w:val="ffffff"/>
                <w:sz w:val="18"/>
                <w:szCs w:val="18"/>
                <w:rtl w:val="0"/>
              </w:rPr>
              <w:t xml:space="preserve">Current State Inputs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tcPr>
          <w:p w:rsidR="00000000" w:rsidDel="00000000" w:rsidP="00000000" w:rsidRDefault="00000000" w:rsidRPr="00000000" w14:paraId="0000001E">
            <w:pPr>
              <w:rPr/>
            </w:pPr>
            <w:r w:rsidDel="00000000" w:rsidR="00000000" w:rsidRPr="00000000">
              <w:rPr>
                <w:rFonts w:ascii="Arial" w:cs="Arial" w:eastAsia="Arial" w:hAnsi="Arial"/>
                <w:b w:val="1"/>
                <w:color w:val="ffffff"/>
                <w:sz w:val="18"/>
                <w:szCs w:val="18"/>
                <w:rtl w:val="0"/>
              </w:rPr>
              <w:t xml:space="preserve">Cloud State Inputs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rFonts w:ascii="Arial" w:cs="Arial" w:eastAsia="Arial" w:hAnsi="Arial"/>
                <w:b w:val="1"/>
                <w:color w:val="ffffff"/>
                <w:sz w:val="18"/>
                <w:szCs w:val="18"/>
                <w:rtl w:val="0"/>
              </w:rPr>
              <w:t xml:space="preserve">Standard Assumptions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rFonts w:ascii="Arial" w:cs="Arial" w:eastAsia="Arial" w:hAnsi="Arial"/>
                <w:sz w:val="18"/>
                <w:szCs w:val="18"/>
                <w:rtl w:val="0"/>
              </w:rPr>
              <w:t xml:space="preserve">Infrastructure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rFonts w:ascii="Arial" w:cs="Arial" w:eastAsia="Arial" w:hAnsi="Arial"/>
                <w:sz w:val="18"/>
                <w:szCs w:val="18"/>
                <w:rtl w:val="0"/>
              </w:rPr>
              <w:t xml:space="preserve">Server HW, storage, network gear, DC facility costs, power/cooling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rFonts w:ascii="Arial" w:cs="Arial" w:eastAsia="Arial" w:hAnsi="Arial"/>
                <w:sz w:val="18"/>
                <w:szCs w:val="18"/>
                <w:rtl w:val="0"/>
              </w:rPr>
              <w:t xml:space="preserve">EC2/RDS/S3 pricing, Reserved Instances, Savings Plans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rFonts w:ascii="Arial" w:cs="Arial" w:eastAsia="Arial" w:hAnsi="Arial"/>
                <w:sz w:val="18"/>
                <w:szCs w:val="18"/>
                <w:rtl w:val="0"/>
              </w:rPr>
              <w:t xml:space="preserve">3-yr RI commitment, 70% RI coverage by month 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rFonts w:ascii="Arial" w:cs="Arial" w:eastAsia="Arial" w:hAnsi="Arial"/>
                <w:sz w:val="18"/>
                <w:szCs w:val="18"/>
                <w:rtl w:val="0"/>
              </w:rPr>
              <w:t xml:space="preserve">Operations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rFonts w:ascii="Arial" w:cs="Arial" w:eastAsia="Arial" w:hAnsi="Arial"/>
                <w:sz w:val="18"/>
                <w:szCs w:val="18"/>
                <w:rtl w:val="0"/>
              </w:rPr>
              <w:t xml:space="preserve">FTE costs for DC ops, monitoring, patching, incident mgmt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rFonts w:ascii="Arial" w:cs="Arial" w:eastAsia="Arial" w:hAnsi="Arial"/>
                <w:sz w:val="18"/>
                <w:szCs w:val="18"/>
                <w:rtl w:val="0"/>
              </w:rPr>
              <w:t xml:space="preserve">Managed services costs, automation savings, reduced FTE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rFonts w:ascii="Arial" w:cs="Arial" w:eastAsia="Arial" w:hAnsi="Arial"/>
                <w:sz w:val="18"/>
                <w:szCs w:val="18"/>
                <w:rtl w:val="0"/>
              </w:rPr>
              <w:t xml:space="preserve">30% FTE reduction in Ops by Year 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rFonts w:ascii="Arial" w:cs="Arial" w:eastAsia="Arial" w:hAnsi="Arial"/>
                <w:sz w:val="18"/>
                <w:szCs w:val="18"/>
                <w:rtl w:val="0"/>
              </w:rPr>
              <w:t xml:space="preserve">Licensing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rFonts w:ascii="Arial" w:cs="Arial" w:eastAsia="Arial" w:hAnsi="Arial"/>
                <w:sz w:val="18"/>
                <w:szCs w:val="18"/>
                <w:rtl w:val="0"/>
              </w:rPr>
              <w:t xml:space="preserve">OS, DB, middleware, monitoring tool licenses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rFonts w:ascii="Arial" w:cs="Arial" w:eastAsia="Arial" w:hAnsi="Arial"/>
                <w:sz w:val="18"/>
                <w:szCs w:val="18"/>
                <w:rtl w:val="0"/>
              </w:rPr>
              <w:t xml:space="preserve">BYOL vs cloud-native, SaaS replacements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rFonts w:ascii="Arial" w:cs="Arial" w:eastAsia="Arial" w:hAnsi="Arial"/>
                <w:sz w:val="18"/>
                <w:szCs w:val="18"/>
                <w:rtl w:val="0"/>
              </w:rPr>
              <w:t xml:space="preserve">License mobility where applicable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rFonts w:ascii="Arial" w:cs="Arial" w:eastAsia="Arial" w:hAnsi="Arial"/>
                <w:sz w:val="18"/>
                <w:szCs w:val="18"/>
                <w:rtl w:val="0"/>
              </w:rPr>
              <w:t xml:space="preserve">Migration One-Time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rFonts w:ascii="Arial" w:cs="Arial" w:eastAsia="Arial" w:hAnsi="Arial"/>
                <w:sz w:val="18"/>
                <w:szCs w:val="18"/>
                <w:rtl w:val="0"/>
              </w:rPr>
              <w:t xml:space="preserve">N/A (current state)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rFonts w:ascii="Arial" w:cs="Arial" w:eastAsia="Arial" w:hAnsi="Arial"/>
                <w:sz w:val="18"/>
                <w:szCs w:val="18"/>
                <w:rtl w:val="0"/>
              </w:rPr>
              <w:t xml:space="preserve">Professional services, tooling, training, parallel running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rFonts w:ascii="Arial" w:cs="Arial" w:eastAsia="Arial" w:hAnsi="Arial"/>
                <w:sz w:val="18"/>
                <w:szCs w:val="18"/>
                <w:rtl w:val="0"/>
              </w:rPr>
              <w:t xml:space="preserve">18-month migration window</w:t>
            </w:r>
            <w:r w:rsidDel="00000000" w:rsidR="00000000" w:rsidRPr="00000000">
              <w:rPr>
                <w:rtl w:val="0"/>
              </w:rPr>
            </w:r>
          </w:p>
        </w:tc>
      </w:tr>
    </w:tbl>
    <w:p w:rsidR="00000000" w:rsidDel="00000000" w:rsidP="00000000" w:rsidRDefault="00000000" w:rsidRPr="00000000" w14:paraId="00000030">
      <w:pPr>
        <w:spacing w:after="120" w:lineRule="auto"/>
        <w:rPr/>
      </w:pPr>
      <w:r w:rsidDel="00000000" w:rsidR="00000000" w:rsidRPr="00000000">
        <w:rPr>
          <w:rFonts w:ascii="Arial" w:cs="Arial" w:eastAsia="Arial" w:hAnsi="Arial"/>
          <w:sz w:val="20"/>
          <w:szCs w:val="20"/>
          <w:rtl w:val="0"/>
        </w:rPr>
        <w:t xml:space="preserve">Client inputs required: current hardware inventory with age and depreciation schedule, current vendor contracts and license agreements, facility cost allocation, FTE cost model for IT operations, and current utilisation data (CPU, memory, storage, network).</w:t>
      </w:r>
      <w:r w:rsidDel="00000000" w:rsidR="00000000" w:rsidRPr="00000000">
        <w:rPr>
          <w:rtl w:val="0"/>
        </w:rPr>
      </w:r>
    </w:p>
    <w:p w:rsidR="00000000" w:rsidDel="00000000" w:rsidP="00000000" w:rsidRDefault="00000000" w:rsidRPr="00000000" w14:paraId="00000031">
      <w:pPr>
        <w:pStyle w:val="Heading2"/>
        <w:spacing w:after="120" w:before="240" w:lineRule="auto"/>
        <w:rPr/>
      </w:pPr>
      <w:r w:rsidDel="00000000" w:rsidR="00000000" w:rsidRPr="00000000">
        <w:rPr>
          <w:rFonts w:ascii="Arial" w:cs="Arial" w:eastAsia="Arial" w:hAnsi="Arial"/>
          <w:b w:val="1"/>
          <w:color w:val="2e5090"/>
          <w:sz w:val="26"/>
          <w:szCs w:val="26"/>
          <w:rtl w:val="0"/>
        </w:rPr>
        <w:t xml:space="preserve">1.5 Standard Discovery Timeline</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rFonts w:ascii="Arial" w:cs="Arial" w:eastAsia="Arial" w:hAnsi="Arial"/>
          <w:sz w:val="20"/>
          <w:szCs w:val="20"/>
          <w:rtl w:val="0"/>
        </w:rPr>
        <w:t xml:space="preserve">For a mid-market financial services estate (~100–200 apps, ~1,000–1,500 servers), our standard Discovery &amp; Assessment timeline is 10–12 weeks with a team of 6–8 resources at peak. Total estimated effort: 480–600 person-days.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160"/>
        <w:gridCol w:w="2500"/>
        <w:gridCol w:w="2500"/>
        <w:tblGridChange w:id="0">
          <w:tblGrid>
            <w:gridCol w:w="1200"/>
            <w:gridCol w:w="3160"/>
            <w:gridCol w:w="2500"/>
            <w:gridCol w:w="25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rFonts w:ascii="Arial" w:cs="Arial" w:eastAsia="Arial" w:hAnsi="Arial"/>
                <w:b w:val="1"/>
                <w:color w:val="ffffff"/>
                <w:sz w:val="18"/>
                <w:szCs w:val="18"/>
                <w:rtl w:val="0"/>
              </w:rPr>
              <w:t xml:space="preserve">Week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rFonts w:ascii="Arial" w:cs="Arial" w:eastAsia="Arial" w:hAnsi="Arial"/>
                <w:b w:val="1"/>
                <w:color w:val="ffffff"/>
                <w:sz w:val="18"/>
                <w:szCs w:val="18"/>
                <w:rtl w:val="0"/>
              </w:rPr>
              <w:t xml:space="preserve">Activity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rFonts w:ascii="Arial" w:cs="Arial" w:eastAsia="Arial" w:hAnsi="Arial"/>
                <w:b w:val="1"/>
                <w:color w:val="ffffff"/>
                <w:sz w:val="18"/>
                <w:szCs w:val="18"/>
                <w:rtl w:val="0"/>
              </w:rPr>
              <w:t xml:space="preserve">CVS Resources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rFonts w:ascii="Arial" w:cs="Arial" w:eastAsia="Arial" w:hAnsi="Arial"/>
                <w:b w:val="1"/>
                <w:color w:val="ffffff"/>
                <w:sz w:val="18"/>
                <w:szCs w:val="18"/>
                <w:rtl w:val="0"/>
              </w:rPr>
              <w:t xml:space="preserve">Client Resources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rFonts w:ascii="Arial" w:cs="Arial" w:eastAsia="Arial" w:hAnsi="Arial"/>
                <w:sz w:val="18"/>
                <w:szCs w:val="18"/>
                <w:rtl w:val="0"/>
              </w:rPr>
              <w:t xml:space="preserve">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rFonts w:ascii="Arial" w:cs="Arial" w:eastAsia="Arial" w:hAnsi="Arial"/>
                <w:sz w:val="18"/>
                <w:szCs w:val="18"/>
                <w:rtl w:val="0"/>
              </w:rPr>
              <w:t xml:space="preserve">Tool deployment, agent rollout, initial data collection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rFonts w:ascii="Arial" w:cs="Arial" w:eastAsia="Arial" w:hAnsi="Arial"/>
                <w:sz w:val="18"/>
                <w:szCs w:val="18"/>
                <w:rtl w:val="0"/>
              </w:rPr>
              <w:t xml:space="preserve">2 Discovery Engineers, 1 PM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rFonts w:ascii="Arial" w:cs="Arial" w:eastAsia="Arial" w:hAnsi="Arial"/>
                <w:sz w:val="18"/>
                <w:szCs w:val="18"/>
                <w:rtl w:val="0"/>
              </w:rPr>
              <w:t xml:space="preserve">Infra team access, network team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rFonts w:ascii="Arial" w:cs="Arial" w:eastAsia="Arial" w:hAnsi="Arial"/>
                <w:sz w:val="18"/>
                <w:szCs w:val="18"/>
                <w:rtl w:val="0"/>
              </w:rPr>
              <w:t xml:space="preserve">3–5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rFonts w:ascii="Arial" w:cs="Arial" w:eastAsia="Arial" w:hAnsi="Arial"/>
                <w:sz w:val="18"/>
                <w:szCs w:val="18"/>
                <w:rtl w:val="0"/>
              </w:rPr>
              <w:t xml:space="preserve">Automated discovery, dependency mapping (30-day observation begins)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rFonts w:ascii="Arial" w:cs="Arial" w:eastAsia="Arial" w:hAnsi="Arial"/>
                <w:sz w:val="18"/>
                <w:szCs w:val="18"/>
                <w:rtl w:val="0"/>
              </w:rPr>
              <w:t xml:space="preserve">2 Discovery Engineers, 1 Cloud Architect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rFonts w:ascii="Arial" w:cs="Arial" w:eastAsia="Arial" w:hAnsi="Arial"/>
                <w:sz w:val="18"/>
                <w:szCs w:val="18"/>
                <w:rtl w:val="0"/>
              </w:rPr>
              <w:t xml:space="preserve">Application owners for validation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rFonts w:ascii="Arial" w:cs="Arial" w:eastAsia="Arial" w:hAnsi="Arial"/>
                <w:sz w:val="18"/>
                <w:szCs w:val="18"/>
                <w:rtl w:val="0"/>
              </w:rPr>
              <w:t xml:space="preserve">6–7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rFonts w:ascii="Arial" w:cs="Arial" w:eastAsia="Arial" w:hAnsi="Arial"/>
                <w:sz w:val="18"/>
                <w:szCs w:val="18"/>
                <w:rtl w:val="0"/>
              </w:rPr>
              <w:t xml:space="preserve">Stakeholder workshops, 6-R classification, orphan app resolution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rFonts w:ascii="Arial" w:cs="Arial" w:eastAsia="Arial" w:hAnsi="Arial"/>
                <w:sz w:val="18"/>
                <w:szCs w:val="18"/>
                <w:rtl w:val="0"/>
              </w:rPr>
              <w:t xml:space="preserve">1 Cloud Architect, 1 FS Specialist, 1 PM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rFonts w:ascii="Arial" w:cs="Arial" w:eastAsia="Arial" w:hAnsi="Arial"/>
                <w:sz w:val="18"/>
                <w:szCs w:val="18"/>
                <w:rtl w:val="0"/>
              </w:rPr>
              <w:t xml:space="preserve">Business unit leads, compliance team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rFonts w:ascii="Arial" w:cs="Arial" w:eastAsia="Arial" w:hAnsi="Arial"/>
                <w:sz w:val="18"/>
                <w:szCs w:val="18"/>
                <w:rtl w:val="0"/>
              </w:rPr>
              <w:t xml:space="preserve">8–9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rFonts w:ascii="Arial" w:cs="Arial" w:eastAsia="Arial" w:hAnsi="Arial"/>
                <w:sz w:val="18"/>
                <w:szCs w:val="18"/>
                <w:rtl w:val="0"/>
              </w:rPr>
              <w:t xml:space="preserve">TCO modelling, wave planning inputs, draft MRA report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rFonts w:ascii="Arial" w:cs="Arial" w:eastAsia="Arial" w:hAnsi="Arial"/>
                <w:sz w:val="18"/>
                <w:szCs w:val="18"/>
                <w:rtl w:val="0"/>
              </w:rPr>
              <w:t xml:space="preserve">1 Cloud Architect, 1 FinOps Analyst, 1 PM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rFonts w:ascii="Arial" w:cs="Arial" w:eastAsia="Arial" w:hAnsi="Arial"/>
                <w:sz w:val="18"/>
                <w:szCs w:val="18"/>
                <w:rtl w:val="0"/>
              </w:rPr>
              <w:t xml:space="preserve">Finance team, CTO office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rFonts w:ascii="Arial" w:cs="Arial" w:eastAsia="Arial" w:hAnsi="Arial"/>
                <w:sz w:val="18"/>
                <w:szCs w:val="18"/>
                <w:rtl w:val="0"/>
              </w:rPr>
              <w:t xml:space="preserve">10–12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rFonts w:ascii="Arial" w:cs="Arial" w:eastAsia="Arial" w:hAnsi="Arial"/>
                <w:sz w:val="18"/>
                <w:szCs w:val="18"/>
                <w:rtl w:val="0"/>
              </w:rPr>
              <w:t xml:space="preserve">Final MRA delivery, executive presentation, handover to migration planning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rFonts w:ascii="Arial" w:cs="Arial" w:eastAsia="Arial" w:hAnsi="Arial"/>
                <w:sz w:val="18"/>
                <w:szCs w:val="18"/>
                <w:rtl w:val="0"/>
              </w:rPr>
              <w:t xml:space="preserve">1 Engagement Lead, 1 Cloud Architect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rFonts w:ascii="Arial" w:cs="Arial" w:eastAsia="Arial" w:hAnsi="Arial"/>
                <w:sz w:val="18"/>
                <w:szCs w:val="18"/>
                <w:rtl w:val="0"/>
              </w:rPr>
              <w:t xml:space="preserve">Steering committee</w:t>
            </w:r>
            <w:r w:rsidDel="00000000" w:rsidR="00000000" w:rsidRPr="00000000">
              <w:rPr>
                <w:rtl w:val="0"/>
              </w:rPr>
            </w:r>
          </w:p>
        </w:tc>
      </w:tr>
    </w:tbl>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spacing w:after="160" w:before="300" w:lineRule="auto"/>
        <w:rPr/>
      </w:pPr>
      <w:r w:rsidDel="00000000" w:rsidR="00000000" w:rsidRPr="00000000">
        <w:rPr>
          <w:rFonts w:ascii="Arial" w:cs="Arial" w:eastAsia="Arial" w:hAnsi="Arial"/>
          <w:b w:val="1"/>
          <w:color w:val="1f3864"/>
          <w:sz w:val="32"/>
          <w:szCs w:val="32"/>
          <w:rtl w:val="0"/>
        </w:rPr>
        <w:t xml:space="preserve">2. Migration Planning &amp; Wave Design</w:t>
      </w:r>
      <w:r w:rsidDel="00000000" w:rsidR="00000000" w:rsidRPr="00000000">
        <w:rPr>
          <w:rtl w:val="0"/>
        </w:rPr>
      </w:r>
    </w:p>
    <w:p w:rsidR="00000000" w:rsidDel="00000000" w:rsidP="00000000" w:rsidRDefault="00000000" w:rsidRPr="00000000" w14:paraId="0000004D">
      <w:pPr>
        <w:pStyle w:val="Heading2"/>
        <w:spacing w:after="120" w:before="240" w:lineRule="auto"/>
        <w:rPr/>
      </w:pPr>
      <w:r w:rsidDel="00000000" w:rsidR="00000000" w:rsidRPr="00000000">
        <w:rPr>
          <w:rFonts w:ascii="Arial" w:cs="Arial" w:eastAsia="Arial" w:hAnsi="Arial"/>
          <w:b w:val="1"/>
          <w:color w:val="2e5090"/>
          <w:sz w:val="26"/>
          <w:szCs w:val="26"/>
          <w:rtl w:val="0"/>
        </w:rPr>
        <w:t xml:space="preserve">2.1 Wave Planning Methodology</w:t>
      </w: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rFonts w:ascii="Arial" w:cs="Arial" w:eastAsia="Arial" w:hAnsi="Arial"/>
          <w:sz w:val="20"/>
          <w:szCs w:val="20"/>
          <w:rtl w:val="0"/>
        </w:rPr>
        <w:t xml:space="preserve">CloudVertex uses a dependency-driven wave planning approach that considers four dimensions: business priority (which workloads matter most to the business), technical dependency (which applications must move together), risk appetite (moving lower-risk workloads first to build confidence), and operational readiness (ensuring target environment and team readiness for each wave).</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rFonts w:ascii="Arial" w:cs="Arial" w:eastAsia="Arial" w:hAnsi="Arial"/>
          <w:sz w:val="20"/>
          <w:szCs w:val="20"/>
          <w:rtl w:val="0"/>
        </w:rPr>
        <w:t xml:space="preserve">When applications across different criticality tiers share infrastructure dependencies, we use our Dependency Cluster Analysis to identify the minimum viable migration unit – the smallest group of applications that can be migrated together without breaking cross-tier dependencies.</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Fonts w:ascii="Arial" w:cs="Arial" w:eastAsia="Arial" w:hAnsi="Arial"/>
          <w:sz w:val="20"/>
          <w:szCs w:val="20"/>
          <w:rtl w:val="0"/>
        </w:rPr>
        <w:t xml:space="preserve">Typical wave sequencing for a financial services migration: Wave 0 (Pilot) migrates 3–5 low-risk applications to validate tooling and processes. Waves 1–3 migrate remaining standard and retire-candidate applications. Waves 4–6 migrate business-critical applications in dependency order. Waves 7+ address mission-critical applications or Retain decisions.</w:t>
      </w:r>
      <w:r w:rsidDel="00000000" w:rsidR="00000000" w:rsidRPr="00000000">
        <w:rPr>
          <w:rtl w:val="0"/>
        </w:rPr>
      </w:r>
    </w:p>
    <w:p w:rsidR="00000000" w:rsidDel="00000000" w:rsidP="00000000" w:rsidRDefault="00000000" w:rsidRPr="00000000" w14:paraId="00000051">
      <w:pPr>
        <w:pStyle w:val="Heading2"/>
        <w:spacing w:after="120" w:before="240" w:lineRule="auto"/>
        <w:rPr/>
      </w:pPr>
      <w:r w:rsidDel="00000000" w:rsidR="00000000" w:rsidRPr="00000000">
        <w:rPr>
          <w:rFonts w:ascii="Arial" w:cs="Arial" w:eastAsia="Arial" w:hAnsi="Arial"/>
          <w:b w:val="1"/>
          <w:color w:val="2e5090"/>
          <w:sz w:val="26"/>
          <w:szCs w:val="26"/>
          <w:rtl w:val="0"/>
        </w:rPr>
        <w:t xml:space="preserve">2.2 Migration Factory Operating Model</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80"/>
        <w:gridCol w:w="3680"/>
        <w:tblGridChange w:id="0">
          <w:tblGrid>
            <w:gridCol w:w="2000"/>
            <w:gridCol w:w="3680"/>
            <w:gridCol w:w="368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rFonts w:ascii="Arial" w:cs="Arial" w:eastAsia="Arial" w:hAnsi="Arial"/>
                <w:b w:val="1"/>
                <w:color w:val="ffffff"/>
                <w:sz w:val="18"/>
                <w:szCs w:val="18"/>
                <w:rtl w:val="0"/>
              </w:rPr>
              <w:t xml:space="preserve">Role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rFonts w:ascii="Arial" w:cs="Arial" w:eastAsia="Arial" w:hAnsi="Arial"/>
                <w:b w:val="1"/>
                <w:color w:val="ffffff"/>
                <w:sz w:val="18"/>
                <w:szCs w:val="18"/>
                <w:rtl w:val="0"/>
              </w:rPr>
              <w:t xml:space="preserve">Responsibility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rFonts w:ascii="Arial" w:cs="Arial" w:eastAsia="Arial" w:hAnsi="Arial"/>
                <w:b w:val="1"/>
                <w:color w:val="ffffff"/>
                <w:sz w:val="18"/>
                <w:szCs w:val="18"/>
                <w:rtl w:val="0"/>
              </w:rPr>
              <w:t xml:space="preserve">Scaling Model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rFonts w:ascii="Arial" w:cs="Arial" w:eastAsia="Arial" w:hAnsi="Arial"/>
                <w:sz w:val="18"/>
                <w:szCs w:val="18"/>
                <w:rtl w:val="0"/>
              </w:rPr>
              <w:t xml:space="preserve">Factory Lead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rFonts w:ascii="Arial" w:cs="Arial" w:eastAsia="Arial" w:hAnsi="Arial"/>
                <w:sz w:val="18"/>
                <w:szCs w:val="18"/>
                <w:rtl w:val="0"/>
              </w:rPr>
              <w:t xml:space="preserve">Overall factory governance, wave sequencing, escalation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rFonts w:ascii="Arial" w:cs="Arial" w:eastAsia="Arial" w:hAnsi="Arial"/>
                <w:sz w:val="18"/>
                <w:szCs w:val="18"/>
                <w:rtl w:val="0"/>
              </w:rPr>
              <w:t xml:space="preserve">1 per programme (fixed)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rFonts w:ascii="Arial" w:cs="Arial" w:eastAsia="Arial" w:hAnsi="Arial"/>
                <w:sz w:val="18"/>
                <w:szCs w:val="18"/>
                <w:rtl w:val="0"/>
              </w:rPr>
              <w:t xml:space="preserve">Wave Lead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rFonts w:ascii="Arial" w:cs="Arial" w:eastAsia="Arial" w:hAnsi="Arial"/>
                <w:sz w:val="18"/>
                <w:szCs w:val="18"/>
                <w:rtl w:val="0"/>
              </w:rPr>
              <w:t xml:space="preserve">Manages execution of a single wave end-to-end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rFonts w:ascii="Arial" w:cs="Arial" w:eastAsia="Arial" w:hAnsi="Arial"/>
                <w:sz w:val="18"/>
                <w:szCs w:val="18"/>
                <w:rtl w:val="0"/>
              </w:rPr>
              <w:t xml:space="preserve">1 per active wave (scales with parallel waves)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rFonts w:ascii="Arial" w:cs="Arial" w:eastAsia="Arial" w:hAnsi="Arial"/>
                <w:sz w:val="18"/>
                <w:szCs w:val="18"/>
                <w:rtl w:val="0"/>
              </w:rPr>
              <w:t xml:space="preserve">Migration Engineer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rFonts w:ascii="Arial" w:cs="Arial" w:eastAsia="Arial" w:hAnsi="Arial"/>
                <w:sz w:val="18"/>
                <w:szCs w:val="18"/>
                <w:rtl w:val="0"/>
              </w:rPr>
              <w:t xml:space="preserve">Executes server/workload migrations using tooling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rFonts w:ascii="Arial" w:cs="Arial" w:eastAsia="Arial" w:hAnsi="Arial"/>
                <w:sz w:val="18"/>
                <w:szCs w:val="18"/>
                <w:rtl w:val="0"/>
              </w:rPr>
              <w:t xml:space="preserve">2–4 per active wave (scales)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rFonts w:ascii="Arial" w:cs="Arial" w:eastAsia="Arial" w:hAnsi="Arial"/>
                <w:sz w:val="18"/>
                <w:szCs w:val="18"/>
                <w:rtl w:val="0"/>
              </w:rPr>
              <w:t xml:space="preserve">App Specialist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rFonts w:ascii="Arial" w:cs="Arial" w:eastAsia="Arial" w:hAnsi="Arial"/>
                <w:sz w:val="18"/>
                <w:szCs w:val="18"/>
                <w:rtl w:val="0"/>
              </w:rPr>
              <w:t xml:space="preserve">Pre/post-migration validation, smoke testing, app-specific config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rFonts w:ascii="Arial" w:cs="Arial" w:eastAsia="Arial" w:hAnsi="Arial"/>
                <w:sz w:val="18"/>
                <w:szCs w:val="18"/>
                <w:rtl w:val="0"/>
              </w:rPr>
              <w:t xml:space="preserve">1 per 5–10 apps in wave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rFonts w:ascii="Arial" w:cs="Arial" w:eastAsia="Arial" w:hAnsi="Arial"/>
                <w:sz w:val="18"/>
                <w:szCs w:val="18"/>
                <w:rtl w:val="0"/>
              </w:rPr>
              <w:t xml:space="preserve">Automation Engineer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rFonts w:ascii="Arial" w:cs="Arial" w:eastAsia="Arial" w:hAnsi="Arial"/>
                <w:sz w:val="18"/>
                <w:szCs w:val="18"/>
                <w:rtl w:val="0"/>
              </w:rPr>
              <w:t xml:space="preserve">Maintains IaC, CI/CD pipelines, migration automation scripts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rFonts w:ascii="Arial" w:cs="Arial" w:eastAsia="Arial" w:hAnsi="Arial"/>
                <w:sz w:val="18"/>
                <w:szCs w:val="18"/>
                <w:rtl w:val="0"/>
              </w:rPr>
              <w:t xml:space="preserve">1–2 per programme (fixed)</w:t>
            </w:r>
            <w:r w:rsidDel="00000000" w:rsidR="00000000" w:rsidRPr="00000000">
              <w:rPr>
                <w:rtl w:val="0"/>
              </w:rPr>
            </w:r>
          </w:p>
        </w:tc>
      </w:tr>
    </w:tbl>
    <w:p w:rsidR="00000000" w:rsidDel="00000000" w:rsidP="00000000" w:rsidRDefault="00000000" w:rsidRPr="00000000" w14:paraId="00000064">
      <w:pPr>
        <w:spacing w:after="120" w:lineRule="auto"/>
        <w:rPr/>
      </w:pPr>
      <w:r w:rsidDel="00000000" w:rsidR="00000000" w:rsidRPr="00000000">
        <w:rPr>
          <w:rFonts w:ascii="Arial" w:cs="Arial" w:eastAsia="Arial" w:hAnsi="Arial"/>
          <w:sz w:val="20"/>
          <w:szCs w:val="20"/>
          <w:rtl w:val="0"/>
        </w:rPr>
        <w:t xml:space="preserve">Governance cadence: daily stand-ups per wave, weekly factory review with all wave leads, bi-weekly steering committee with client leadership, and monthly executive dashboard review.</w:t>
      </w:r>
      <w:r w:rsidDel="00000000" w:rsidR="00000000" w:rsidRPr="00000000">
        <w:rPr>
          <w:rtl w:val="0"/>
        </w:rPr>
      </w:r>
    </w:p>
    <w:p w:rsidR="00000000" w:rsidDel="00000000" w:rsidP="00000000" w:rsidRDefault="00000000" w:rsidRPr="00000000" w14:paraId="00000065">
      <w:pPr>
        <w:pStyle w:val="Heading2"/>
        <w:spacing w:after="120" w:before="240" w:lineRule="auto"/>
        <w:rPr/>
      </w:pPr>
      <w:r w:rsidDel="00000000" w:rsidR="00000000" w:rsidRPr="00000000">
        <w:rPr>
          <w:rFonts w:ascii="Arial" w:cs="Arial" w:eastAsia="Arial" w:hAnsi="Arial"/>
          <w:b w:val="1"/>
          <w:color w:val="2e5090"/>
          <w:sz w:val="26"/>
          <w:szCs w:val="26"/>
          <w:rtl w:val="0"/>
        </w:rPr>
        <w:t xml:space="preserve">2.3 Business Stakeholder Management</w:t>
      </w:r>
      <w:r w:rsidDel="00000000" w:rsidR="00000000" w:rsidRPr="00000000">
        <w:rPr>
          <w:rtl w:val="0"/>
        </w:rPr>
      </w:r>
    </w:p>
    <w:p w:rsidR="00000000" w:rsidDel="00000000" w:rsidP="00000000" w:rsidRDefault="00000000" w:rsidRPr="00000000" w14:paraId="00000066">
      <w:pPr>
        <w:spacing w:after="120" w:lineRule="auto"/>
        <w:rPr/>
      </w:pPr>
      <w:r w:rsidDel="00000000" w:rsidR="00000000" w:rsidRPr="00000000">
        <w:rPr>
          <w:rFonts w:ascii="Arial" w:cs="Arial" w:eastAsia="Arial" w:hAnsi="Arial"/>
          <w:sz w:val="20"/>
          <w:szCs w:val="20"/>
          <w:rtl w:val="0"/>
        </w:rPr>
        <w:t xml:space="preserve">Resistance from business units is the single most common risk in enterprise migrations. CloudVertex addresses this through early engagement where we involve business unit heads from the Discovery phase so they have input into the migration strategy for their applications. We assign a Business Liaison from each unit who acts as the bridge between our technical team and the business. We provide migration impact assessments that clearly articulate what changes the business will experience. For units that actively resist, we use an executive escalation framework where the programme sponsor facilitates alignment, and if necessary, we offer a deferred migration option.</w:t>
      </w:r>
      <w:r w:rsidDel="00000000" w:rsidR="00000000" w:rsidRPr="00000000">
        <w:rPr>
          <w:rtl w:val="0"/>
        </w:rPr>
      </w:r>
    </w:p>
    <w:p w:rsidR="00000000" w:rsidDel="00000000" w:rsidP="00000000" w:rsidRDefault="00000000" w:rsidRPr="00000000" w14:paraId="00000067">
      <w:pPr>
        <w:pStyle w:val="Heading2"/>
        <w:spacing w:after="120" w:before="240" w:lineRule="auto"/>
        <w:rPr/>
      </w:pPr>
      <w:r w:rsidDel="00000000" w:rsidR="00000000" w:rsidRPr="00000000">
        <w:rPr>
          <w:rFonts w:ascii="Arial" w:cs="Arial" w:eastAsia="Arial" w:hAnsi="Arial"/>
          <w:b w:val="1"/>
          <w:color w:val="2e5090"/>
          <w:sz w:val="26"/>
          <w:szCs w:val="26"/>
          <w:rtl w:val="0"/>
        </w:rPr>
        <w:t xml:space="preserve">2.4 Rollback Procedures</w:t>
      </w:r>
      <w:r w:rsidDel="00000000" w:rsidR="00000000" w:rsidRPr="00000000">
        <w:rPr>
          <w:rtl w:val="0"/>
        </w:rPr>
      </w:r>
    </w:p>
    <w:p w:rsidR="00000000" w:rsidDel="00000000" w:rsidP="00000000" w:rsidRDefault="00000000" w:rsidRPr="00000000" w14:paraId="00000068">
      <w:pPr>
        <w:spacing w:after="120" w:lineRule="auto"/>
        <w:rPr/>
      </w:pPr>
      <w:r w:rsidDel="00000000" w:rsidR="00000000" w:rsidRPr="00000000">
        <w:rPr>
          <w:rFonts w:ascii="Arial" w:cs="Arial" w:eastAsia="Arial" w:hAnsi="Arial"/>
          <w:sz w:val="20"/>
          <w:szCs w:val="20"/>
          <w:rtl w:val="0"/>
        </w:rPr>
        <w:t xml:space="preserve">Our rollback protocol for failed migrations operates in three tiers: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pre-migration snapshots are available: Restore source environment from snapshot, redirect DNS/load balancer to restored source, validate data integrity against last known good state, and investigate root cause before re-attempting.</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source has been powered down but not deleted: Power on source environment, validate state, redirect traffic. This is why we maintain source environments in powered-down state for extended periods post-migration.</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source has been fully decommissioned (worst case): Deploy target cloud environment to replicate source configuration using IaC templates captured during discovery, restore data from the most recent backup/replication point.</w:t>
      </w:r>
    </w:p>
    <w:p w:rsidR="00000000" w:rsidDel="00000000" w:rsidP="00000000" w:rsidRDefault="00000000" w:rsidRPr="00000000" w14:paraId="0000006C">
      <w:pPr>
        <w:spacing w:after="120" w:lineRule="auto"/>
        <w:rPr/>
      </w:pPr>
      <w:r w:rsidDel="00000000" w:rsidR="00000000" w:rsidRPr="00000000">
        <w:rPr>
          <w:rFonts w:ascii="Arial" w:cs="Arial" w:eastAsia="Arial" w:hAnsi="Arial"/>
          <w:sz w:val="20"/>
          <w:szCs w:val="20"/>
          <w:rtl w:val="0"/>
        </w:rPr>
        <w:t xml:space="preserve">Key principle: We never fully decommission a source environment until the application has been running successfully in the cloud for a minimum of 14 days (standard workloads), 30 days (business-critical), or 90 days (mission-critical).</w:t>
      </w:r>
      <w:r w:rsidDel="00000000" w:rsidR="00000000" w:rsidRPr="00000000">
        <w:rPr>
          <w:rtl w:val="0"/>
        </w:rPr>
      </w:r>
    </w:p>
    <w:p w:rsidR="00000000" w:rsidDel="00000000" w:rsidP="00000000" w:rsidRDefault="00000000" w:rsidRPr="00000000" w14:paraId="0000006D">
      <w:pPr>
        <w:pStyle w:val="Heading2"/>
        <w:spacing w:after="120" w:before="240" w:lineRule="auto"/>
        <w:rPr/>
      </w:pPr>
      <w:r w:rsidDel="00000000" w:rsidR="00000000" w:rsidRPr="00000000">
        <w:rPr>
          <w:rFonts w:ascii="Arial" w:cs="Arial" w:eastAsia="Arial" w:hAnsi="Arial"/>
          <w:b w:val="1"/>
          <w:color w:val="2e5090"/>
          <w:sz w:val="26"/>
          <w:szCs w:val="26"/>
          <w:rtl w:val="0"/>
        </w:rPr>
        <w:t xml:space="preserve">2.5 Programme Governance &amp; Reporting</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480"/>
        <w:gridCol w:w="2480"/>
        <w:tblGridChange w:id="0">
          <w:tblGrid>
            <w:gridCol w:w="2200"/>
            <w:gridCol w:w="2200"/>
            <w:gridCol w:w="2480"/>
            <w:gridCol w:w="248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rFonts w:ascii="Arial" w:cs="Arial" w:eastAsia="Arial" w:hAnsi="Arial"/>
                <w:b w:val="1"/>
                <w:color w:val="ffffff"/>
                <w:sz w:val="18"/>
                <w:szCs w:val="18"/>
                <w:rtl w:val="0"/>
              </w:rPr>
              <w:t xml:space="preserve">Forum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rFonts w:ascii="Arial" w:cs="Arial" w:eastAsia="Arial" w:hAnsi="Arial"/>
                <w:b w:val="1"/>
                <w:color w:val="ffffff"/>
                <w:sz w:val="18"/>
                <w:szCs w:val="18"/>
                <w:rtl w:val="0"/>
              </w:rPr>
              <w:t xml:space="preserve">Frequency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rFonts w:ascii="Arial" w:cs="Arial" w:eastAsia="Arial" w:hAnsi="Arial"/>
                <w:b w:val="1"/>
                <w:color w:val="ffffff"/>
                <w:sz w:val="18"/>
                <w:szCs w:val="18"/>
                <w:rtl w:val="0"/>
              </w:rPr>
              <w:t xml:space="preserve">Attendees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rFonts w:ascii="Arial" w:cs="Arial" w:eastAsia="Arial" w:hAnsi="Arial"/>
                <w:b w:val="1"/>
                <w:color w:val="ffffff"/>
                <w:sz w:val="18"/>
                <w:szCs w:val="18"/>
                <w:rtl w:val="0"/>
              </w:rPr>
              <w:t xml:space="preserve">Purpose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rFonts w:ascii="Arial" w:cs="Arial" w:eastAsia="Arial" w:hAnsi="Arial"/>
                <w:sz w:val="18"/>
                <w:szCs w:val="18"/>
                <w:rtl w:val="0"/>
              </w:rPr>
              <w:t xml:space="preserve">Daily Stand-up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rFonts w:ascii="Arial" w:cs="Arial" w:eastAsia="Arial" w:hAnsi="Arial"/>
                <w:sz w:val="18"/>
                <w:szCs w:val="18"/>
                <w:rtl w:val="0"/>
              </w:rPr>
              <w:t xml:space="preserve">Daily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74">
            <w:pPr>
              <w:rPr/>
            </w:pPr>
            <w:r w:rsidDel="00000000" w:rsidR="00000000" w:rsidRPr="00000000">
              <w:rPr>
                <w:rFonts w:ascii="Arial" w:cs="Arial" w:eastAsia="Arial" w:hAnsi="Arial"/>
                <w:sz w:val="18"/>
                <w:szCs w:val="18"/>
                <w:rtl w:val="0"/>
              </w:rPr>
              <w:t xml:space="preserve">Wave Lead, Migration Engineers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rFonts w:ascii="Arial" w:cs="Arial" w:eastAsia="Arial" w:hAnsi="Arial"/>
                <w:sz w:val="18"/>
                <w:szCs w:val="18"/>
                <w:rtl w:val="0"/>
              </w:rPr>
              <w:t xml:space="preserve">Tactical progress, blockers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rFonts w:ascii="Arial" w:cs="Arial" w:eastAsia="Arial" w:hAnsi="Arial"/>
                <w:sz w:val="18"/>
                <w:szCs w:val="18"/>
                <w:rtl w:val="0"/>
              </w:rPr>
              <w:t xml:space="preserve">Weekly Factory Review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rFonts w:ascii="Arial" w:cs="Arial" w:eastAsia="Arial" w:hAnsi="Arial"/>
                <w:sz w:val="18"/>
                <w:szCs w:val="18"/>
                <w:rtl w:val="0"/>
              </w:rPr>
              <w:t xml:space="preserve">Weekly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78">
            <w:pPr>
              <w:rPr/>
            </w:pPr>
            <w:r w:rsidDel="00000000" w:rsidR="00000000" w:rsidRPr="00000000">
              <w:rPr>
                <w:rFonts w:ascii="Arial" w:cs="Arial" w:eastAsia="Arial" w:hAnsi="Arial"/>
                <w:sz w:val="18"/>
                <w:szCs w:val="18"/>
                <w:rtl w:val="0"/>
              </w:rPr>
              <w:t xml:space="preserve">Factory Lead, all Wave Leads, Client PM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rFonts w:ascii="Arial" w:cs="Arial" w:eastAsia="Arial" w:hAnsi="Arial"/>
                <w:sz w:val="18"/>
                <w:szCs w:val="18"/>
                <w:rtl w:val="0"/>
              </w:rPr>
              <w:t xml:space="preserve">Cross-wave coordination, risk review</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rFonts w:ascii="Arial" w:cs="Arial" w:eastAsia="Arial" w:hAnsi="Arial"/>
                <w:sz w:val="18"/>
                <w:szCs w:val="18"/>
                <w:rtl w:val="0"/>
              </w:rPr>
              <w:t xml:space="preserve">Steering Committee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7B">
            <w:pPr>
              <w:rPr/>
            </w:pPr>
            <w:r w:rsidDel="00000000" w:rsidR="00000000" w:rsidRPr="00000000">
              <w:rPr>
                <w:rFonts w:ascii="Arial" w:cs="Arial" w:eastAsia="Arial" w:hAnsi="Arial"/>
                <w:sz w:val="18"/>
                <w:szCs w:val="18"/>
                <w:rtl w:val="0"/>
              </w:rPr>
              <w:t xml:space="preserve">Bi-weekly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rFonts w:ascii="Arial" w:cs="Arial" w:eastAsia="Arial" w:hAnsi="Arial"/>
                <w:sz w:val="18"/>
                <w:szCs w:val="18"/>
                <w:rtl w:val="0"/>
              </w:rPr>
              <w:t xml:space="preserve">CVS Engagement Lead, Client CTO, BU heads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rFonts w:ascii="Arial" w:cs="Arial" w:eastAsia="Arial" w:hAnsi="Arial"/>
                <w:sz w:val="18"/>
                <w:szCs w:val="18"/>
                <w:rtl w:val="0"/>
              </w:rPr>
              <w:t xml:space="preserve">Strategic decisions, escalations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rFonts w:ascii="Arial" w:cs="Arial" w:eastAsia="Arial" w:hAnsi="Arial"/>
                <w:sz w:val="18"/>
                <w:szCs w:val="18"/>
                <w:rtl w:val="0"/>
              </w:rPr>
              <w:t xml:space="preserve">Executive Dashboard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rFonts w:ascii="Arial" w:cs="Arial" w:eastAsia="Arial" w:hAnsi="Arial"/>
                <w:sz w:val="18"/>
                <w:szCs w:val="18"/>
                <w:rtl w:val="0"/>
              </w:rPr>
              <w:t xml:space="preserve">Monthly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rFonts w:ascii="Arial" w:cs="Arial" w:eastAsia="Arial" w:hAnsi="Arial"/>
                <w:sz w:val="18"/>
                <w:szCs w:val="18"/>
                <w:rtl w:val="0"/>
              </w:rPr>
              <w:t xml:space="preserve">Client C-suite, CVS SVP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rFonts w:ascii="Arial" w:cs="Arial" w:eastAsia="Arial" w:hAnsi="Arial"/>
                <w:sz w:val="18"/>
                <w:szCs w:val="18"/>
                <w:rtl w:val="0"/>
              </w:rPr>
              <w:t xml:space="preserve">Programme health, financials, milestones</w:t>
            </w:r>
            <w:r w:rsidDel="00000000" w:rsidR="00000000" w:rsidRPr="00000000">
              <w:rPr>
                <w:rtl w:val="0"/>
              </w:rPr>
            </w:r>
          </w:p>
        </w:tc>
      </w:tr>
    </w:tbl>
    <w:p w:rsidR="00000000" w:rsidDel="00000000" w:rsidP="00000000" w:rsidRDefault="00000000" w:rsidRPr="00000000" w14:paraId="00000082">
      <w:pPr>
        <w:spacing w:after="120" w:lineRule="auto"/>
        <w:rPr/>
      </w:pPr>
      <w:r w:rsidDel="00000000" w:rsidR="00000000" w:rsidRPr="00000000">
        <w:rPr>
          <w:rFonts w:ascii="Arial" w:cs="Arial" w:eastAsia="Arial" w:hAnsi="Arial"/>
          <w:sz w:val="20"/>
          <w:szCs w:val="20"/>
          <w:rtl w:val="0"/>
        </w:rPr>
        <w:t xml:space="preserve">Tooling: We use Jira for migration task tracking, Confluence for runbooks and documentation, and our proprietary CVS-MigrationTracker dashboard for real-time wave progress visualisation.</w:t>
      </w:r>
      <w:r w:rsidDel="00000000" w:rsidR="00000000" w:rsidRPr="00000000">
        <w:rPr>
          <w:rtl w:val="0"/>
        </w:rPr>
      </w:r>
    </w:p>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spacing w:after="160" w:before="300" w:lineRule="auto"/>
        <w:rPr/>
      </w:pPr>
      <w:r w:rsidDel="00000000" w:rsidR="00000000" w:rsidRPr="00000000">
        <w:rPr>
          <w:rFonts w:ascii="Arial" w:cs="Arial" w:eastAsia="Arial" w:hAnsi="Arial"/>
          <w:b w:val="1"/>
          <w:color w:val="1f3864"/>
          <w:sz w:val="32"/>
          <w:szCs w:val="32"/>
          <w:rtl w:val="0"/>
        </w:rPr>
        <w:t xml:space="preserve">3. Cloud Architecture Design</w:t>
      </w:r>
      <w:r w:rsidDel="00000000" w:rsidR="00000000" w:rsidRPr="00000000">
        <w:rPr>
          <w:rtl w:val="0"/>
        </w:rPr>
      </w:r>
    </w:p>
    <w:p w:rsidR="00000000" w:rsidDel="00000000" w:rsidP="00000000" w:rsidRDefault="00000000" w:rsidRPr="00000000" w14:paraId="00000085">
      <w:pPr>
        <w:pStyle w:val="Heading2"/>
        <w:spacing w:after="120" w:before="240" w:lineRule="auto"/>
        <w:rPr/>
      </w:pPr>
      <w:r w:rsidDel="00000000" w:rsidR="00000000" w:rsidRPr="00000000">
        <w:rPr>
          <w:rFonts w:ascii="Arial" w:cs="Arial" w:eastAsia="Arial" w:hAnsi="Arial"/>
          <w:b w:val="1"/>
          <w:color w:val="2e5090"/>
          <w:sz w:val="26"/>
          <w:szCs w:val="26"/>
          <w:rtl w:val="0"/>
        </w:rPr>
        <w:t xml:space="preserve">3.1 Landing Zone Approach</w:t>
      </w:r>
      <w:r w:rsidDel="00000000" w:rsidR="00000000" w:rsidRPr="00000000">
        <w:rPr>
          <w:rtl w:val="0"/>
        </w:rPr>
      </w:r>
    </w:p>
    <w:p w:rsidR="00000000" w:rsidDel="00000000" w:rsidP="00000000" w:rsidRDefault="00000000" w:rsidRPr="00000000" w14:paraId="00000086">
      <w:pPr>
        <w:spacing w:after="120" w:lineRule="auto"/>
        <w:rPr/>
      </w:pPr>
      <w:r w:rsidDel="00000000" w:rsidR="00000000" w:rsidRPr="00000000">
        <w:rPr>
          <w:rFonts w:ascii="Arial" w:cs="Arial" w:eastAsia="Arial" w:hAnsi="Arial"/>
          <w:sz w:val="20"/>
          <w:szCs w:val="20"/>
          <w:rtl w:val="0"/>
        </w:rPr>
        <w:t xml:space="preserve">CloudVertex uses a hybrid approach combining AWS Control Tower as the foundation with custom IaC overlays for financial services-specific requirements: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AWS Control Tower provides multi-account structure, baseline guardrails, and SSO integration.</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Custom Terraform modules (our CVS-LandingZone-FS library) layer on financial services-specific controls: SCPs restricting regions to US-only, mandatory encryption policies, VPC flow log enforcement, and CloudTrail organisation-level logging to an immutable audit account.</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Account structure: Separate AWS accounts for Production, Staging, Development, Shared Services, Security/Audit, Log Archive, and Sandbox – organised into OUs by environment and business line.</w:t>
      </w:r>
    </w:p>
    <w:p w:rsidR="00000000" w:rsidDel="00000000" w:rsidP="00000000" w:rsidRDefault="00000000" w:rsidRPr="00000000" w14:paraId="0000008A">
      <w:pPr>
        <w:pStyle w:val="Heading2"/>
        <w:spacing w:after="120" w:before="240" w:lineRule="auto"/>
        <w:rPr/>
      </w:pPr>
      <w:r w:rsidDel="00000000" w:rsidR="00000000" w:rsidRPr="00000000">
        <w:rPr>
          <w:rFonts w:ascii="Arial" w:cs="Arial" w:eastAsia="Arial" w:hAnsi="Arial"/>
          <w:b w:val="1"/>
          <w:color w:val="2e5090"/>
          <w:sz w:val="26"/>
          <w:szCs w:val="26"/>
          <w:rtl w:val="0"/>
        </w:rPr>
        <w:t xml:space="preserve">3.2 Network Segmentation</w:t>
      </w:r>
      <w:r w:rsidDel="00000000" w:rsidR="00000000" w:rsidRPr="00000000">
        <w:rPr>
          <w:rtl w:val="0"/>
        </w:rPr>
      </w:r>
    </w:p>
    <w:p w:rsidR="00000000" w:rsidDel="00000000" w:rsidP="00000000" w:rsidRDefault="00000000" w:rsidRPr="00000000" w14:paraId="0000008B">
      <w:pPr>
        <w:spacing w:after="120" w:lineRule="auto"/>
        <w:rPr/>
      </w:pPr>
      <w:r w:rsidDel="00000000" w:rsidR="00000000" w:rsidRPr="00000000">
        <w:rPr>
          <w:rFonts w:ascii="Arial" w:cs="Arial" w:eastAsia="Arial" w:hAnsi="Arial"/>
          <w:sz w:val="20"/>
          <w:szCs w:val="20"/>
          <w:rtl w:val="0"/>
        </w:rPr>
        <w:t xml:space="preserve">We design a hub-and-spoke VPC architecture with network segmentation driven by data classification:</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Hub VPC: Contains shared services (Active Directory, DNS, monitoring, SIEM collectors), transit gateway, and Direct Connect termination.</w:t>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Spoke VPCs: Separate VPCs per environment and per data sensitivity tier. PCI-scoped workloads reside in isolated VPCs with no direct internet access and all traffic routed through centralised inspection (AWS Network Firewall).</w:t>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Microsegmentation: Security groups enforce least-privilege access at the instance level. Network ACLs provide subnet-level controls as a secondary boundary.</w:t>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Cross-VPC communication: All inter-VPC traffic routes through AWS Transit Gateway with route table isolation.</w:t>
      </w:r>
    </w:p>
    <w:p w:rsidR="00000000" w:rsidDel="00000000" w:rsidP="00000000" w:rsidRDefault="00000000" w:rsidRPr="00000000" w14:paraId="00000090">
      <w:pPr>
        <w:pStyle w:val="Heading2"/>
        <w:spacing w:after="120" w:before="240" w:lineRule="auto"/>
        <w:rPr/>
      </w:pPr>
      <w:r w:rsidDel="00000000" w:rsidR="00000000" w:rsidRPr="00000000">
        <w:rPr>
          <w:rFonts w:ascii="Arial" w:cs="Arial" w:eastAsia="Arial" w:hAnsi="Arial"/>
          <w:b w:val="1"/>
          <w:color w:val="2e5090"/>
          <w:sz w:val="26"/>
          <w:szCs w:val="26"/>
          <w:rtl w:val="0"/>
        </w:rPr>
        <w:t xml:space="preserve">3.3 Compliance-Native Architecture</w:t>
      </w:r>
      <w:r w:rsidDel="00000000" w:rsidR="00000000" w:rsidRPr="00000000">
        <w:rPr>
          <w:rtl w:val="0"/>
        </w:rPr>
      </w:r>
    </w:p>
    <w:p w:rsidR="00000000" w:rsidDel="00000000" w:rsidP="00000000" w:rsidRDefault="00000000" w:rsidRPr="00000000" w14:paraId="00000091">
      <w:pPr>
        <w:spacing w:after="120" w:lineRule="auto"/>
        <w:rPr/>
      </w:pPr>
      <w:r w:rsidDel="00000000" w:rsidR="00000000" w:rsidRPr="00000000">
        <w:rPr>
          <w:rFonts w:ascii="Arial" w:cs="Arial" w:eastAsia="Arial" w:hAnsi="Arial"/>
          <w:sz w:val="20"/>
          <w:szCs w:val="20"/>
          <w:rtl w:val="0"/>
        </w:rPr>
        <w:t xml:space="preserve">PCI-DSS v4.0: Cardholder Data Environment (CDE) isolated in dedicated VPC with no internet gateway. All access via AWS PrivateLink. Encryption via KMS with CMK. Logging to immutable audit account. Automated compliance scanning via AWS Security Hub with PCI-DSS standard enabled.</w:t>
      </w:r>
      <w:r w:rsidDel="00000000" w:rsidR="00000000" w:rsidRPr="00000000">
        <w:rPr>
          <w:rtl w:val="0"/>
        </w:rPr>
      </w:r>
    </w:p>
    <w:p w:rsidR="00000000" w:rsidDel="00000000" w:rsidP="00000000" w:rsidRDefault="00000000" w:rsidRPr="00000000" w14:paraId="00000092">
      <w:pPr>
        <w:spacing w:after="120" w:lineRule="auto"/>
        <w:rPr/>
      </w:pPr>
      <w:r w:rsidDel="00000000" w:rsidR="00000000" w:rsidRPr="00000000">
        <w:rPr>
          <w:rFonts w:ascii="Arial" w:cs="Arial" w:eastAsia="Arial" w:hAnsi="Arial"/>
          <w:sz w:val="20"/>
          <w:szCs w:val="20"/>
          <w:rtl w:val="0"/>
        </w:rPr>
        <w:t xml:space="preserve">SOC 2 Type II: CloudTrail enabled organisation-wide with tamper-proof storage in Log Archive account. AWS Config recording all resource changes. Automated evidence collection for annual SOC 2 audit using our CVS-AuditCollector tool.</w:t>
      </w:r>
      <w:r w:rsidDel="00000000" w:rsidR="00000000" w:rsidRPr="00000000">
        <w:rPr>
          <w:rtl w:val="0"/>
        </w:rPr>
      </w:r>
    </w:p>
    <w:p w:rsidR="00000000" w:rsidDel="00000000" w:rsidP="00000000" w:rsidRDefault="00000000" w:rsidRPr="00000000" w14:paraId="00000093">
      <w:pPr>
        <w:spacing w:after="120" w:lineRule="auto"/>
        <w:rPr/>
      </w:pPr>
      <w:r w:rsidDel="00000000" w:rsidR="00000000" w:rsidRPr="00000000">
        <w:rPr>
          <w:rFonts w:ascii="Arial" w:cs="Arial" w:eastAsia="Arial" w:hAnsi="Arial"/>
          <w:sz w:val="20"/>
          <w:szCs w:val="20"/>
          <w:rtl w:val="0"/>
        </w:rPr>
        <w:t xml:space="preserve">SEC Rule 17a-4 (WORM): S3 Object Lock in Compliance Mode with retention periods matching SEC requirements. Governance bypass explicitly disabled. Immutability validated via automated test suite.</w:t>
      </w:r>
      <w:r w:rsidDel="00000000" w:rsidR="00000000" w:rsidRPr="00000000">
        <w:rPr>
          <w:rtl w:val="0"/>
        </w:rPr>
      </w:r>
    </w:p>
    <w:p w:rsidR="00000000" w:rsidDel="00000000" w:rsidP="00000000" w:rsidRDefault="00000000" w:rsidRPr="00000000" w14:paraId="00000094">
      <w:pPr>
        <w:pStyle w:val="Heading2"/>
        <w:spacing w:after="120" w:before="240" w:lineRule="auto"/>
        <w:rPr/>
      </w:pPr>
      <w:r w:rsidDel="00000000" w:rsidR="00000000" w:rsidRPr="00000000">
        <w:rPr>
          <w:rFonts w:ascii="Arial" w:cs="Arial" w:eastAsia="Arial" w:hAnsi="Arial"/>
          <w:b w:val="1"/>
          <w:color w:val="2e5090"/>
          <w:sz w:val="26"/>
          <w:szCs w:val="26"/>
          <w:rtl w:val="0"/>
        </w:rPr>
        <w:t xml:space="preserve">3.4 DR Architecture Patterns</w:t>
      </w:r>
      <w:r w:rsidDel="00000000" w:rsidR="00000000" w:rsidRPr="00000000">
        <w:rPr>
          <w:rtl w:val="0"/>
        </w:rPr>
      </w:r>
    </w:p>
    <w:p w:rsidR="00000000" w:rsidDel="00000000" w:rsidP="00000000" w:rsidRDefault="00000000" w:rsidRPr="00000000" w14:paraId="00000095">
      <w:pPr>
        <w:spacing w:after="120" w:lineRule="auto"/>
        <w:rPr/>
      </w:pPr>
      <w:r w:rsidDel="00000000" w:rsidR="00000000" w:rsidRPr="00000000">
        <w:rPr>
          <w:rFonts w:ascii="Arial" w:cs="Arial" w:eastAsia="Arial" w:hAnsi="Arial"/>
          <w:sz w:val="20"/>
          <w:szCs w:val="20"/>
          <w:rtl w:val="0"/>
        </w:rPr>
        <w:t xml:space="preserve">CloudVertex designs DR architectures tiered by workload criticality:</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00"/>
        <w:gridCol w:w="1700"/>
        <w:gridCol w:w="1700"/>
        <w:gridCol w:w="1660"/>
        <w:tblGridChange w:id="0">
          <w:tblGrid>
            <w:gridCol w:w="1800"/>
            <w:gridCol w:w="2500"/>
            <w:gridCol w:w="1700"/>
            <w:gridCol w:w="1700"/>
            <w:gridCol w:w="16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tcPr>
          <w:p w:rsidR="00000000" w:rsidDel="00000000" w:rsidP="00000000" w:rsidRDefault="00000000" w:rsidRPr="00000000" w14:paraId="00000096">
            <w:pPr>
              <w:rPr/>
            </w:pPr>
            <w:r w:rsidDel="00000000" w:rsidR="00000000" w:rsidRPr="00000000">
              <w:rPr>
                <w:rFonts w:ascii="Arial" w:cs="Arial" w:eastAsia="Arial" w:hAnsi="Arial"/>
                <w:b w:val="1"/>
                <w:color w:val="ffffff"/>
                <w:sz w:val="18"/>
                <w:szCs w:val="18"/>
                <w:rtl w:val="0"/>
              </w:rPr>
              <w:t xml:space="preserve">Workload Tier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rFonts w:ascii="Arial" w:cs="Arial" w:eastAsia="Arial" w:hAnsi="Arial"/>
                <w:b w:val="1"/>
                <w:color w:val="ffffff"/>
                <w:sz w:val="18"/>
                <w:szCs w:val="18"/>
                <w:rtl w:val="0"/>
              </w:rPr>
              <w:t xml:space="preserve">DR Pattern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tcPr>
          <w:p w:rsidR="00000000" w:rsidDel="00000000" w:rsidP="00000000" w:rsidRDefault="00000000" w:rsidRPr="00000000" w14:paraId="00000098">
            <w:pPr>
              <w:rPr/>
            </w:pPr>
            <w:r w:rsidDel="00000000" w:rsidR="00000000" w:rsidRPr="00000000">
              <w:rPr>
                <w:rFonts w:ascii="Arial" w:cs="Arial" w:eastAsia="Arial" w:hAnsi="Arial"/>
                <w:b w:val="1"/>
                <w:color w:val="ffffff"/>
                <w:sz w:val="18"/>
                <w:szCs w:val="18"/>
                <w:rtl w:val="0"/>
              </w:rPr>
              <w:t xml:space="preserve">Typical RTO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tcPr>
          <w:p w:rsidR="00000000" w:rsidDel="00000000" w:rsidP="00000000" w:rsidRDefault="00000000" w:rsidRPr="00000000" w14:paraId="00000099">
            <w:pPr>
              <w:rPr/>
            </w:pPr>
            <w:r w:rsidDel="00000000" w:rsidR="00000000" w:rsidRPr="00000000">
              <w:rPr>
                <w:rFonts w:ascii="Arial" w:cs="Arial" w:eastAsia="Arial" w:hAnsi="Arial"/>
                <w:b w:val="1"/>
                <w:color w:val="ffffff"/>
                <w:sz w:val="18"/>
                <w:szCs w:val="18"/>
                <w:rtl w:val="0"/>
              </w:rPr>
              <w:t xml:space="preserve">Typical RPO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tcPr>
          <w:p w:rsidR="00000000" w:rsidDel="00000000" w:rsidP="00000000" w:rsidRDefault="00000000" w:rsidRPr="00000000" w14:paraId="0000009A">
            <w:pPr>
              <w:rPr/>
            </w:pPr>
            <w:r w:rsidDel="00000000" w:rsidR="00000000" w:rsidRPr="00000000">
              <w:rPr>
                <w:rFonts w:ascii="Arial" w:cs="Arial" w:eastAsia="Arial" w:hAnsi="Arial"/>
                <w:b w:val="1"/>
                <w:color w:val="ffffff"/>
                <w:sz w:val="18"/>
                <w:szCs w:val="18"/>
                <w:rtl w:val="0"/>
              </w:rPr>
              <w:t xml:space="preserve">Regions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9B">
            <w:pPr>
              <w:rPr/>
            </w:pPr>
            <w:r w:rsidDel="00000000" w:rsidR="00000000" w:rsidRPr="00000000">
              <w:rPr>
                <w:rFonts w:ascii="Arial" w:cs="Arial" w:eastAsia="Arial" w:hAnsi="Arial"/>
                <w:sz w:val="18"/>
                <w:szCs w:val="18"/>
                <w:rtl w:val="0"/>
              </w:rPr>
              <w:t xml:space="preserve">Mission-Critical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9C">
            <w:pPr>
              <w:rPr/>
            </w:pPr>
            <w:r w:rsidDel="00000000" w:rsidR="00000000" w:rsidRPr="00000000">
              <w:rPr>
                <w:rFonts w:ascii="Arial" w:cs="Arial" w:eastAsia="Arial" w:hAnsi="Arial"/>
                <w:sz w:val="18"/>
                <w:szCs w:val="18"/>
                <w:rtl w:val="0"/>
              </w:rPr>
              <w:t xml:space="preserve">Active-Active (Global Accelerator, Aurora Global DB)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9D">
            <w:pPr>
              <w:rPr/>
            </w:pPr>
            <w:r w:rsidDel="00000000" w:rsidR="00000000" w:rsidRPr="00000000">
              <w:rPr>
                <w:rFonts w:ascii="Arial" w:cs="Arial" w:eastAsia="Arial" w:hAnsi="Arial"/>
                <w:sz w:val="18"/>
                <w:szCs w:val="18"/>
                <w:rtl w:val="0"/>
              </w:rPr>
              <w:t xml:space="preserve">10 min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9E">
            <w:pPr>
              <w:rPr/>
            </w:pPr>
            <w:r w:rsidDel="00000000" w:rsidR="00000000" w:rsidRPr="00000000">
              <w:rPr>
                <w:rFonts w:ascii="Arial" w:cs="Arial" w:eastAsia="Arial" w:hAnsi="Arial"/>
                <w:sz w:val="18"/>
                <w:szCs w:val="18"/>
                <w:rtl w:val="0"/>
              </w:rPr>
              <w:t xml:space="preserve">3 min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9F">
            <w:pPr>
              <w:rPr/>
            </w:pPr>
            <w:r w:rsidDel="00000000" w:rsidR="00000000" w:rsidRPr="00000000">
              <w:rPr>
                <w:rFonts w:ascii="Arial" w:cs="Arial" w:eastAsia="Arial" w:hAnsi="Arial"/>
                <w:sz w:val="18"/>
                <w:szCs w:val="18"/>
                <w:rtl w:val="0"/>
              </w:rPr>
              <w:t xml:space="preserve">us-east-1 + us-west-2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rFonts w:ascii="Arial" w:cs="Arial" w:eastAsia="Arial" w:hAnsi="Arial"/>
                <w:sz w:val="18"/>
                <w:szCs w:val="18"/>
                <w:rtl w:val="0"/>
              </w:rPr>
              <w:t xml:space="preserve">Business-Critical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A1">
            <w:pPr>
              <w:rPr/>
            </w:pPr>
            <w:r w:rsidDel="00000000" w:rsidR="00000000" w:rsidRPr="00000000">
              <w:rPr>
                <w:rFonts w:ascii="Arial" w:cs="Arial" w:eastAsia="Arial" w:hAnsi="Arial"/>
                <w:sz w:val="18"/>
                <w:szCs w:val="18"/>
                <w:rtl w:val="0"/>
              </w:rPr>
              <w:t xml:space="preserve">Warm Standby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A2">
            <w:pPr>
              <w:rPr/>
            </w:pPr>
            <w:r w:rsidDel="00000000" w:rsidR="00000000" w:rsidRPr="00000000">
              <w:rPr>
                <w:rFonts w:ascii="Arial" w:cs="Arial" w:eastAsia="Arial" w:hAnsi="Arial"/>
                <w:sz w:val="18"/>
                <w:szCs w:val="18"/>
                <w:rtl w:val="0"/>
              </w:rPr>
              <w:t xml:space="preserve">2 hours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A3">
            <w:pPr>
              <w:rPr/>
            </w:pPr>
            <w:r w:rsidDel="00000000" w:rsidR="00000000" w:rsidRPr="00000000">
              <w:rPr>
                <w:rFonts w:ascii="Arial" w:cs="Arial" w:eastAsia="Arial" w:hAnsi="Arial"/>
                <w:sz w:val="18"/>
                <w:szCs w:val="18"/>
                <w:rtl w:val="0"/>
              </w:rPr>
              <w:t xml:space="preserve">30 min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A4">
            <w:pPr>
              <w:rPr/>
            </w:pPr>
            <w:r w:rsidDel="00000000" w:rsidR="00000000" w:rsidRPr="00000000">
              <w:rPr>
                <w:rFonts w:ascii="Arial" w:cs="Arial" w:eastAsia="Arial" w:hAnsi="Arial"/>
                <w:sz w:val="18"/>
                <w:szCs w:val="18"/>
                <w:rtl w:val="0"/>
              </w:rPr>
              <w:t xml:space="preserve">us-east-1 + us-west-2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A5">
            <w:pPr>
              <w:rPr/>
            </w:pPr>
            <w:r w:rsidDel="00000000" w:rsidR="00000000" w:rsidRPr="00000000">
              <w:rPr>
                <w:rFonts w:ascii="Arial" w:cs="Arial" w:eastAsia="Arial" w:hAnsi="Arial"/>
                <w:sz w:val="18"/>
                <w:szCs w:val="18"/>
                <w:rtl w:val="0"/>
              </w:rPr>
              <w:t xml:space="preserve">Standard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rFonts w:ascii="Arial" w:cs="Arial" w:eastAsia="Arial" w:hAnsi="Arial"/>
                <w:sz w:val="18"/>
                <w:szCs w:val="18"/>
                <w:rtl w:val="0"/>
              </w:rPr>
              <w:t xml:space="preserve">Pilot Light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A7">
            <w:pPr>
              <w:rPr/>
            </w:pPr>
            <w:r w:rsidDel="00000000" w:rsidR="00000000" w:rsidRPr="00000000">
              <w:rPr>
                <w:rFonts w:ascii="Arial" w:cs="Arial" w:eastAsia="Arial" w:hAnsi="Arial"/>
                <w:sz w:val="18"/>
                <w:szCs w:val="18"/>
                <w:rtl w:val="0"/>
              </w:rPr>
              <w:t xml:space="preserve">12 hours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A8">
            <w:pPr>
              <w:rPr/>
            </w:pPr>
            <w:r w:rsidDel="00000000" w:rsidR="00000000" w:rsidRPr="00000000">
              <w:rPr>
                <w:rFonts w:ascii="Arial" w:cs="Arial" w:eastAsia="Arial" w:hAnsi="Arial"/>
                <w:sz w:val="18"/>
                <w:szCs w:val="18"/>
                <w:rtl w:val="0"/>
              </w:rPr>
              <w:t xml:space="preserve">2 hours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rFonts w:ascii="Arial" w:cs="Arial" w:eastAsia="Arial" w:hAnsi="Arial"/>
                <w:sz w:val="18"/>
                <w:szCs w:val="18"/>
                <w:rtl w:val="0"/>
              </w:rPr>
              <w:t xml:space="preserve">us-east-1 + us-west-2</w:t>
            </w:r>
            <w:r w:rsidDel="00000000" w:rsidR="00000000" w:rsidRPr="00000000">
              <w:rPr>
                <w:rtl w:val="0"/>
              </w:rPr>
            </w:r>
          </w:p>
        </w:tc>
      </w:tr>
    </w:tbl>
    <w:p w:rsidR="00000000" w:rsidDel="00000000" w:rsidP="00000000" w:rsidRDefault="00000000" w:rsidRPr="00000000" w14:paraId="000000AA">
      <w:pPr>
        <w:spacing w:after="120" w:lineRule="auto"/>
        <w:rPr/>
      </w:pPr>
      <w:r w:rsidDel="00000000" w:rsidR="00000000" w:rsidRPr="00000000">
        <w:rPr>
          <w:rFonts w:ascii="Arial" w:cs="Arial" w:eastAsia="Arial" w:hAnsi="Arial"/>
          <w:sz w:val="20"/>
          <w:szCs w:val="20"/>
          <w:rtl w:val="0"/>
        </w:rPr>
        <w:t xml:space="preserve">We validate RTO/RPO targets prior to migration through pre-migration DR simulation using our CVS-DRTest framework. Post-migration, we recommend quarterly DR testing for mission-critical, semi-annual for business-critical, and annual for standard workloads.</w:t>
      </w:r>
      <w:r w:rsidDel="00000000" w:rsidR="00000000" w:rsidRPr="00000000">
        <w:rPr>
          <w:rtl w:val="0"/>
        </w:rPr>
      </w:r>
    </w:p>
    <w:p w:rsidR="00000000" w:rsidDel="00000000" w:rsidP="00000000" w:rsidRDefault="00000000" w:rsidRPr="00000000" w14:paraId="000000AB">
      <w:pPr>
        <w:pStyle w:val="Heading2"/>
        <w:spacing w:after="120" w:before="240" w:lineRule="auto"/>
        <w:rPr/>
      </w:pPr>
      <w:r w:rsidDel="00000000" w:rsidR="00000000" w:rsidRPr="00000000">
        <w:rPr>
          <w:rFonts w:ascii="Arial" w:cs="Arial" w:eastAsia="Arial" w:hAnsi="Arial"/>
          <w:b w:val="1"/>
          <w:color w:val="2e5090"/>
          <w:sz w:val="26"/>
          <w:szCs w:val="26"/>
          <w:rtl w:val="0"/>
        </w:rPr>
        <w:t xml:space="preserve">3.5 FinOps Practice</w:t>
      </w:r>
      <w:r w:rsidDel="00000000" w:rsidR="00000000" w:rsidRPr="00000000">
        <w:rPr>
          <w:rtl w:val="0"/>
        </w:rPr>
      </w:r>
    </w:p>
    <w:p w:rsidR="00000000" w:rsidDel="00000000" w:rsidP="00000000" w:rsidRDefault="00000000" w:rsidRPr="00000000" w14:paraId="000000AC">
      <w:pPr>
        <w:spacing w:after="120" w:lineRule="auto"/>
        <w:rPr/>
      </w:pPr>
      <w:r w:rsidDel="00000000" w:rsidR="00000000" w:rsidRPr="00000000">
        <w:rPr>
          <w:rFonts w:ascii="Arial" w:cs="Arial" w:eastAsia="Arial" w:hAnsi="Arial"/>
          <w:sz w:val="20"/>
          <w:szCs w:val="20"/>
          <w:rtl w:val="0"/>
        </w:rPr>
        <w:t xml:space="preserve">CloudVertex’s FinOps practice is built on three pillars: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Visibility: Mandatory tagging taxonomy (Environment, Application, BusinessUnit, CostCentre, Owner, Tier) enforced via SCP. Untagged resources auto-flagged and quarantined after 7 days. Cost Explorer dashboards per business unit.</w:t>
      </w:r>
    </w:p>
    <w:p w:rsidR="00000000" w:rsidDel="00000000" w:rsidP="00000000" w:rsidRDefault="00000000" w:rsidRPr="00000000" w14:paraId="000000A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Optimisation: Reserved Instance and Savings Plans recommendations delivered monthly. Automated right-sizing recommendations via AWS Compute Optimizer. Spot instance integration for non-production workloads.</w:t>
      </w:r>
    </w:p>
    <w:p w:rsidR="00000000" w:rsidDel="00000000" w:rsidP="00000000" w:rsidRDefault="00000000" w:rsidRPr="00000000" w14:paraId="000000A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Governance: Monthly FinOps review with client finance and IT leadership. Anomaly detection via AWS Cost Anomaly Detection. Budget alerts at 80% and 100% thresholds per account.</w:t>
      </w:r>
    </w:p>
    <w:p w:rsidR="00000000" w:rsidDel="00000000" w:rsidP="00000000" w:rsidRDefault="00000000" w:rsidRPr="00000000" w14:paraId="000000B0">
      <w:pPr>
        <w:spacing w:after="120" w:lineRule="auto"/>
        <w:rPr/>
      </w:pPr>
      <w:r w:rsidDel="00000000" w:rsidR="00000000" w:rsidRPr="00000000">
        <w:rPr>
          <w:rFonts w:ascii="Arial" w:cs="Arial" w:eastAsia="Arial" w:hAnsi="Arial"/>
          <w:sz w:val="20"/>
          <w:szCs w:val="20"/>
          <w:rtl w:val="0"/>
        </w:rPr>
        <w:t xml:space="preserve">Typical client outcome: 25–35% cost reduction within 6 months of migration completion.</w:t>
      </w:r>
      <w:r w:rsidDel="00000000" w:rsidR="00000000" w:rsidRPr="00000000">
        <w:rPr>
          <w:rtl w:val="0"/>
        </w:rPr>
      </w:r>
    </w:p>
    <w:p w:rsidR="00000000" w:rsidDel="00000000" w:rsidP="00000000" w:rsidRDefault="00000000" w:rsidRPr="00000000" w14:paraId="000000B1">
      <w:pPr>
        <w:rPr/>
      </w:pPr>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1"/>
        <w:spacing w:after="160" w:before="300" w:lineRule="auto"/>
        <w:rPr/>
      </w:pPr>
      <w:r w:rsidDel="00000000" w:rsidR="00000000" w:rsidRPr="00000000">
        <w:rPr>
          <w:rFonts w:ascii="Arial" w:cs="Arial" w:eastAsia="Arial" w:hAnsi="Arial"/>
          <w:b w:val="1"/>
          <w:color w:val="1f3864"/>
          <w:sz w:val="32"/>
          <w:szCs w:val="32"/>
          <w:rtl w:val="0"/>
        </w:rPr>
        <w:t xml:space="preserve">4. Migration Execution</w:t>
      </w:r>
      <w:r w:rsidDel="00000000" w:rsidR="00000000" w:rsidRPr="00000000">
        <w:rPr>
          <w:rtl w:val="0"/>
        </w:rPr>
      </w:r>
    </w:p>
    <w:p w:rsidR="00000000" w:rsidDel="00000000" w:rsidP="00000000" w:rsidRDefault="00000000" w:rsidRPr="00000000" w14:paraId="000000B3">
      <w:pPr>
        <w:pStyle w:val="Heading2"/>
        <w:spacing w:after="120" w:before="240" w:lineRule="auto"/>
        <w:rPr/>
      </w:pPr>
      <w:r w:rsidDel="00000000" w:rsidR="00000000" w:rsidRPr="00000000">
        <w:rPr>
          <w:rFonts w:ascii="Arial" w:cs="Arial" w:eastAsia="Arial" w:hAnsi="Arial"/>
          <w:b w:val="1"/>
          <w:color w:val="2e5090"/>
          <w:sz w:val="26"/>
          <w:szCs w:val="26"/>
          <w:rtl w:val="0"/>
        </w:rPr>
        <w:t xml:space="preserve">4.1 Execution Tooling</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80"/>
        <w:gridCol w:w="3680"/>
        <w:tblGridChange w:id="0">
          <w:tblGrid>
            <w:gridCol w:w="2000"/>
            <w:gridCol w:w="3680"/>
            <w:gridCol w:w="368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tcPr>
          <w:p w:rsidR="00000000" w:rsidDel="00000000" w:rsidP="00000000" w:rsidRDefault="00000000" w:rsidRPr="00000000" w14:paraId="000000B4">
            <w:pPr>
              <w:rPr/>
            </w:pPr>
            <w:r w:rsidDel="00000000" w:rsidR="00000000" w:rsidRPr="00000000">
              <w:rPr>
                <w:rFonts w:ascii="Arial" w:cs="Arial" w:eastAsia="Arial" w:hAnsi="Arial"/>
                <w:b w:val="1"/>
                <w:color w:val="ffffff"/>
                <w:sz w:val="18"/>
                <w:szCs w:val="18"/>
                <w:rtl w:val="0"/>
              </w:rPr>
              <w:t xml:space="preserve">Pattern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tcPr>
          <w:p w:rsidR="00000000" w:rsidDel="00000000" w:rsidP="00000000" w:rsidRDefault="00000000" w:rsidRPr="00000000" w14:paraId="000000B5">
            <w:pPr>
              <w:rPr/>
            </w:pPr>
            <w:r w:rsidDel="00000000" w:rsidR="00000000" w:rsidRPr="00000000">
              <w:rPr>
                <w:rFonts w:ascii="Arial" w:cs="Arial" w:eastAsia="Arial" w:hAnsi="Arial"/>
                <w:b w:val="1"/>
                <w:color w:val="ffffff"/>
                <w:sz w:val="18"/>
                <w:szCs w:val="18"/>
                <w:rtl w:val="0"/>
              </w:rPr>
              <w:t xml:space="preserve">Tool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tcPr>
          <w:p w:rsidR="00000000" w:rsidDel="00000000" w:rsidP="00000000" w:rsidRDefault="00000000" w:rsidRPr="00000000" w14:paraId="000000B6">
            <w:pPr>
              <w:rPr/>
            </w:pPr>
            <w:r w:rsidDel="00000000" w:rsidR="00000000" w:rsidRPr="00000000">
              <w:rPr>
                <w:rFonts w:ascii="Arial" w:cs="Arial" w:eastAsia="Arial" w:hAnsi="Arial"/>
                <w:b w:val="1"/>
                <w:color w:val="ffffff"/>
                <w:sz w:val="18"/>
                <w:szCs w:val="18"/>
                <w:rtl w:val="0"/>
              </w:rPr>
              <w:t xml:space="preserve">Edge Case Handling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B7">
            <w:pPr>
              <w:rPr/>
            </w:pPr>
            <w:r w:rsidDel="00000000" w:rsidR="00000000" w:rsidRPr="00000000">
              <w:rPr>
                <w:rFonts w:ascii="Arial" w:cs="Arial" w:eastAsia="Arial" w:hAnsi="Arial"/>
                <w:sz w:val="18"/>
                <w:szCs w:val="18"/>
                <w:rtl w:val="0"/>
              </w:rPr>
              <w:t xml:space="preserve">Rehost (Lift &amp; Shift)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B8">
            <w:pPr>
              <w:rPr/>
            </w:pPr>
            <w:r w:rsidDel="00000000" w:rsidR="00000000" w:rsidRPr="00000000">
              <w:rPr>
                <w:rFonts w:ascii="Arial" w:cs="Arial" w:eastAsia="Arial" w:hAnsi="Arial"/>
                <w:sz w:val="18"/>
                <w:szCs w:val="18"/>
                <w:rtl w:val="0"/>
              </w:rPr>
              <w:t xml:space="preserve">AWS Application Migration Service (MGN)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B9">
            <w:pPr>
              <w:rPr/>
            </w:pPr>
            <w:r w:rsidDel="00000000" w:rsidR="00000000" w:rsidRPr="00000000">
              <w:rPr>
                <w:rFonts w:ascii="Arial" w:cs="Arial" w:eastAsia="Arial" w:hAnsi="Arial"/>
                <w:sz w:val="18"/>
                <w:szCs w:val="18"/>
                <w:rtl w:val="0"/>
              </w:rPr>
              <w:t xml:space="preserve">Continuous block-level replication; supports Windows, Linux, bare-metal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BA">
            <w:pPr>
              <w:rPr/>
            </w:pPr>
            <w:r w:rsidDel="00000000" w:rsidR="00000000" w:rsidRPr="00000000">
              <w:rPr>
                <w:rFonts w:ascii="Arial" w:cs="Arial" w:eastAsia="Arial" w:hAnsi="Arial"/>
                <w:sz w:val="18"/>
                <w:szCs w:val="18"/>
                <w:rtl w:val="0"/>
              </w:rPr>
              <w:t xml:space="preserve">Replatform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BB">
            <w:pPr>
              <w:rPr/>
            </w:pPr>
            <w:r w:rsidDel="00000000" w:rsidR="00000000" w:rsidRPr="00000000">
              <w:rPr>
                <w:rFonts w:ascii="Arial" w:cs="Arial" w:eastAsia="Arial" w:hAnsi="Arial"/>
                <w:sz w:val="18"/>
                <w:szCs w:val="18"/>
                <w:rtl w:val="0"/>
              </w:rPr>
              <w:t xml:space="preserve">AWS Database Migration Service (DMS), Schema Conversion Tool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BC">
            <w:pPr>
              <w:rPr/>
            </w:pPr>
            <w:r w:rsidDel="00000000" w:rsidR="00000000" w:rsidRPr="00000000">
              <w:rPr>
                <w:rFonts w:ascii="Arial" w:cs="Arial" w:eastAsia="Arial" w:hAnsi="Arial"/>
                <w:sz w:val="18"/>
                <w:szCs w:val="18"/>
                <w:rtl w:val="0"/>
              </w:rPr>
              <w:t xml:space="preserve">Handles Oracle→Aurora, SQL Server→RDS conversions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BD">
            <w:pPr>
              <w:rPr/>
            </w:pPr>
            <w:r w:rsidDel="00000000" w:rsidR="00000000" w:rsidRPr="00000000">
              <w:rPr>
                <w:rFonts w:ascii="Arial" w:cs="Arial" w:eastAsia="Arial" w:hAnsi="Arial"/>
                <w:sz w:val="18"/>
                <w:szCs w:val="18"/>
                <w:rtl w:val="0"/>
              </w:rPr>
              <w:t xml:space="preserve">Bare Metal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BE">
            <w:pPr>
              <w:rPr/>
            </w:pPr>
            <w:r w:rsidDel="00000000" w:rsidR="00000000" w:rsidRPr="00000000">
              <w:rPr>
                <w:rFonts w:ascii="Arial" w:cs="Arial" w:eastAsia="Arial" w:hAnsi="Arial"/>
                <w:sz w:val="18"/>
                <w:szCs w:val="18"/>
                <w:rtl w:val="0"/>
              </w:rPr>
              <w:t xml:space="preserve">CloudEndure (MGN) + P2V conversion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BF">
            <w:pPr>
              <w:rPr/>
            </w:pPr>
            <w:r w:rsidDel="00000000" w:rsidR="00000000" w:rsidRPr="00000000">
              <w:rPr>
                <w:rFonts w:ascii="Arial" w:cs="Arial" w:eastAsia="Arial" w:hAnsi="Arial"/>
                <w:sz w:val="18"/>
                <w:szCs w:val="18"/>
                <w:rtl w:val="0"/>
              </w:rPr>
              <w:t xml:space="preserve">Physical-to-virtual conversion before cloud migration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C0">
            <w:pPr>
              <w:rPr/>
            </w:pPr>
            <w:r w:rsidDel="00000000" w:rsidR="00000000" w:rsidRPr="00000000">
              <w:rPr>
                <w:rFonts w:ascii="Arial" w:cs="Arial" w:eastAsia="Arial" w:hAnsi="Arial"/>
                <w:sz w:val="18"/>
                <w:szCs w:val="18"/>
                <w:rtl w:val="0"/>
              </w:rPr>
              <w:t xml:space="preserve">Proprietary 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C1">
            <w:pPr>
              <w:rPr/>
            </w:pPr>
            <w:r w:rsidDel="00000000" w:rsidR="00000000" w:rsidRPr="00000000">
              <w:rPr>
                <w:rFonts w:ascii="Arial" w:cs="Arial" w:eastAsia="Arial" w:hAnsi="Arial"/>
                <w:sz w:val="18"/>
                <w:szCs w:val="18"/>
                <w:rtl w:val="0"/>
              </w:rPr>
              <w:t xml:space="preserve">VM Import/Export + custom AMI creation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C2">
            <w:pPr>
              <w:rPr/>
            </w:pPr>
            <w:r w:rsidDel="00000000" w:rsidR="00000000" w:rsidRPr="00000000">
              <w:rPr>
                <w:rFonts w:ascii="Arial" w:cs="Arial" w:eastAsia="Arial" w:hAnsi="Arial"/>
                <w:sz w:val="18"/>
                <w:szCs w:val="18"/>
                <w:rtl w:val="0"/>
              </w:rPr>
              <w:t xml:space="preserve">Manual image preparation and validation required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C3">
            <w:pPr>
              <w:rPr/>
            </w:pPr>
            <w:r w:rsidDel="00000000" w:rsidR="00000000" w:rsidRPr="00000000">
              <w:rPr>
                <w:rFonts w:ascii="Arial" w:cs="Arial" w:eastAsia="Arial" w:hAnsi="Arial"/>
                <w:sz w:val="18"/>
                <w:szCs w:val="18"/>
                <w:rtl w:val="0"/>
              </w:rPr>
              <w:t xml:space="preserve">HW License Dependencies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C4">
            <w:pPr>
              <w:rPr/>
            </w:pPr>
            <w:r w:rsidDel="00000000" w:rsidR="00000000" w:rsidRPr="00000000">
              <w:rPr>
                <w:rFonts w:ascii="Arial" w:cs="Arial" w:eastAsia="Arial" w:hAnsi="Arial"/>
                <w:sz w:val="18"/>
                <w:szCs w:val="18"/>
                <w:rtl w:val="0"/>
              </w:rPr>
              <w:t xml:space="preserve">Dedicated Hosts / Dedicated Instances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C5">
            <w:pPr>
              <w:rPr/>
            </w:pPr>
            <w:r w:rsidDel="00000000" w:rsidR="00000000" w:rsidRPr="00000000">
              <w:rPr>
                <w:rFonts w:ascii="Arial" w:cs="Arial" w:eastAsia="Arial" w:hAnsi="Arial"/>
                <w:sz w:val="18"/>
                <w:szCs w:val="18"/>
                <w:rtl w:val="0"/>
              </w:rPr>
              <w:t xml:space="preserve">BYOL compliance for Oracle, SQL Server with License Mobility</w:t>
            </w:r>
            <w:r w:rsidDel="00000000" w:rsidR="00000000" w:rsidRPr="00000000">
              <w:rPr>
                <w:rtl w:val="0"/>
              </w:rPr>
            </w:r>
          </w:p>
        </w:tc>
      </w:tr>
    </w:tbl>
    <w:p w:rsidR="00000000" w:rsidDel="00000000" w:rsidP="00000000" w:rsidRDefault="00000000" w:rsidRPr="00000000" w14:paraId="000000C6">
      <w:pPr>
        <w:pStyle w:val="Heading2"/>
        <w:spacing w:after="120" w:before="240" w:lineRule="auto"/>
        <w:rPr/>
      </w:pPr>
      <w:r w:rsidDel="00000000" w:rsidR="00000000" w:rsidRPr="00000000">
        <w:rPr>
          <w:rFonts w:ascii="Arial" w:cs="Arial" w:eastAsia="Arial" w:hAnsi="Arial"/>
          <w:b w:val="1"/>
          <w:color w:val="2e5090"/>
          <w:sz w:val="26"/>
          <w:szCs w:val="26"/>
          <w:rtl w:val="0"/>
        </w:rPr>
        <w:t xml:space="preserve">4.2 Standard Cutover Process</w:t>
      </w:r>
      <w:r w:rsidDel="00000000" w:rsidR="00000000" w:rsidRPr="00000000">
        <w:rPr>
          <w:rtl w:val="0"/>
        </w:rPr>
      </w:r>
    </w:p>
    <w:p w:rsidR="00000000" w:rsidDel="00000000" w:rsidP="00000000" w:rsidRDefault="00000000" w:rsidRPr="00000000" w14:paraId="000000C7">
      <w:pPr>
        <w:spacing w:after="120" w:lineRule="auto"/>
        <w:rPr/>
      </w:pPr>
      <w:r w:rsidDel="00000000" w:rsidR="00000000" w:rsidRPr="00000000">
        <w:rPr>
          <w:rFonts w:ascii="Arial" w:cs="Arial" w:eastAsia="Arial" w:hAnsi="Arial"/>
          <w:sz w:val="20"/>
          <w:szCs w:val="20"/>
          <w:rtl w:val="0"/>
        </w:rPr>
        <w:t xml:space="preserve">Our standard cutover process follows a 72-hour cycle:</w:t>
      </w:r>
      <w:r w:rsidDel="00000000" w:rsidR="00000000" w:rsidRPr="00000000">
        <w:rPr>
          <w:rtl w:val="0"/>
        </w:rPr>
      </w:r>
    </w:p>
    <w:p w:rsidR="00000000" w:rsidDel="00000000" w:rsidP="00000000" w:rsidRDefault="00000000" w:rsidRPr="00000000" w14:paraId="000000C8">
      <w:pPr>
        <w:spacing w:after="120" w:lineRule="auto"/>
        <w:rPr/>
      </w:pPr>
      <w:r w:rsidDel="00000000" w:rsidR="00000000" w:rsidRPr="00000000">
        <w:rPr>
          <w:rFonts w:ascii="Arial" w:cs="Arial" w:eastAsia="Arial" w:hAnsi="Arial"/>
          <w:sz w:val="20"/>
          <w:szCs w:val="20"/>
          <w:rtl w:val="0"/>
        </w:rPr>
        <w:t xml:space="preserve">Pre-Cutover (T-48 to T-24 hours): Final data sync validation, target environment smoke testing, DNS TTL reduction to 60 seconds, stakeholder notification, and go/no-go checklist completion.</w:t>
      </w:r>
      <w:r w:rsidDel="00000000" w:rsidR="00000000" w:rsidRPr="00000000">
        <w:rPr>
          <w:rtl w:val="0"/>
        </w:rPr>
      </w:r>
    </w:p>
    <w:p w:rsidR="00000000" w:rsidDel="00000000" w:rsidP="00000000" w:rsidRDefault="00000000" w:rsidRPr="00000000" w14:paraId="000000C9">
      <w:pPr>
        <w:spacing w:after="120" w:lineRule="auto"/>
        <w:rPr/>
      </w:pPr>
      <w:r w:rsidDel="00000000" w:rsidR="00000000" w:rsidRPr="00000000">
        <w:rPr>
          <w:rFonts w:ascii="Arial" w:cs="Arial" w:eastAsia="Arial" w:hAnsi="Arial"/>
          <w:sz w:val="20"/>
          <w:szCs w:val="20"/>
          <w:rtl w:val="0"/>
        </w:rPr>
        <w:t xml:space="preserve">Go/No-Go Criteria: Data sync lag below 5 minutes, all smoke tests passing, rollback environment validated, on-call team confirmed, business stakeholder sign-off received. Final go/no-go authority rests with the client’s Application Owner with recommendation from CVS Wave Lead.</w:t>
      </w:r>
      <w:r w:rsidDel="00000000" w:rsidR="00000000" w:rsidRPr="00000000">
        <w:rPr>
          <w:rtl w:val="0"/>
        </w:rPr>
      </w:r>
    </w:p>
    <w:p w:rsidR="00000000" w:rsidDel="00000000" w:rsidP="00000000" w:rsidRDefault="00000000" w:rsidRPr="00000000" w14:paraId="000000CA">
      <w:pPr>
        <w:spacing w:after="120" w:lineRule="auto"/>
        <w:rPr/>
      </w:pPr>
      <w:r w:rsidDel="00000000" w:rsidR="00000000" w:rsidRPr="00000000">
        <w:rPr>
          <w:rFonts w:ascii="Arial" w:cs="Arial" w:eastAsia="Arial" w:hAnsi="Arial"/>
          <w:sz w:val="20"/>
          <w:szCs w:val="20"/>
          <w:rtl w:val="0"/>
        </w:rPr>
        <w:t xml:space="preserve">Cutover Execution (T-0): Stop source application, trigger final data sync, validate data integrity checksum, update DNS/load balancer to target, start target application, execute post-migration validation suite.</w:t>
      </w:r>
      <w:r w:rsidDel="00000000" w:rsidR="00000000" w:rsidRPr="00000000">
        <w:rPr>
          <w:rtl w:val="0"/>
        </w:rPr>
      </w:r>
    </w:p>
    <w:p w:rsidR="00000000" w:rsidDel="00000000" w:rsidP="00000000" w:rsidRDefault="00000000" w:rsidRPr="00000000" w14:paraId="000000CB">
      <w:pPr>
        <w:spacing w:after="120" w:lineRule="auto"/>
        <w:rPr/>
      </w:pPr>
      <w:r w:rsidDel="00000000" w:rsidR="00000000" w:rsidRPr="00000000">
        <w:rPr>
          <w:rFonts w:ascii="Arial" w:cs="Arial" w:eastAsia="Arial" w:hAnsi="Arial"/>
          <w:sz w:val="20"/>
          <w:szCs w:val="20"/>
          <w:rtl w:val="0"/>
        </w:rPr>
        <w:t xml:space="preserve">Post-Cutover (T+0 to T+48 hours): Intensive monitoring, performance benchmarking against baseline, user acceptance testing, and issue triage.</w:t>
      </w:r>
      <w:r w:rsidDel="00000000" w:rsidR="00000000" w:rsidRPr="00000000">
        <w:rPr>
          <w:rtl w:val="0"/>
        </w:rPr>
      </w:r>
    </w:p>
    <w:p w:rsidR="00000000" w:rsidDel="00000000" w:rsidP="00000000" w:rsidRDefault="00000000" w:rsidRPr="00000000" w14:paraId="000000CC">
      <w:pPr>
        <w:pStyle w:val="Heading2"/>
        <w:spacing w:after="120" w:before="240" w:lineRule="auto"/>
        <w:rPr/>
      </w:pPr>
      <w:r w:rsidDel="00000000" w:rsidR="00000000" w:rsidRPr="00000000">
        <w:rPr>
          <w:rFonts w:ascii="Arial" w:cs="Arial" w:eastAsia="Arial" w:hAnsi="Arial"/>
          <w:b w:val="1"/>
          <w:color w:val="2e5090"/>
          <w:sz w:val="26"/>
          <w:szCs w:val="26"/>
          <w:rtl w:val="0"/>
        </w:rPr>
        <w:t xml:space="preserve">4.3 Parallel Running &amp; Decommissioning</w:t>
      </w:r>
      <w:r w:rsidDel="00000000" w:rsidR="00000000" w:rsidRPr="00000000">
        <w:rPr>
          <w:rtl w:val="0"/>
        </w:rPr>
      </w:r>
    </w:p>
    <w:p w:rsidR="00000000" w:rsidDel="00000000" w:rsidP="00000000" w:rsidRDefault="00000000" w:rsidRPr="00000000" w14:paraId="000000CD">
      <w:pPr>
        <w:spacing w:after="120" w:lineRule="auto"/>
        <w:rPr/>
      </w:pPr>
      <w:r w:rsidDel="00000000" w:rsidR="00000000" w:rsidRPr="00000000">
        <w:rPr>
          <w:rFonts w:ascii="Arial" w:cs="Arial" w:eastAsia="Arial" w:hAnsi="Arial"/>
          <w:sz w:val="20"/>
          <w:szCs w:val="20"/>
          <w:rtl w:val="0"/>
        </w:rPr>
        <w:t xml:space="preserve">We maintain source and target environments in parallel during cutover using DNS-based traffic routing that allows instant failback. Recommended parallel running periods: standard workloads – 14 days, business-critical – 30 days, mission-critical – 90 days. Source environments are powered down (not deleted) after the parallel period, then fully decommissioned 30 days after power-down with final data backup archived.</w:t>
      </w:r>
      <w:r w:rsidDel="00000000" w:rsidR="00000000" w:rsidRPr="00000000">
        <w:rPr>
          <w:rtl w:val="0"/>
        </w:rPr>
      </w:r>
    </w:p>
    <w:p w:rsidR="00000000" w:rsidDel="00000000" w:rsidP="00000000" w:rsidRDefault="00000000" w:rsidRPr="00000000" w14:paraId="000000CE">
      <w:pPr>
        <w:pStyle w:val="Heading2"/>
        <w:spacing w:after="120" w:before="240" w:lineRule="auto"/>
        <w:rPr/>
      </w:pPr>
      <w:r w:rsidDel="00000000" w:rsidR="00000000" w:rsidRPr="00000000">
        <w:rPr>
          <w:rFonts w:ascii="Arial" w:cs="Arial" w:eastAsia="Arial" w:hAnsi="Arial"/>
          <w:b w:val="1"/>
          <w:color w:val="2e5090"/>
          <w:sz w:val="26"/>
          <w:szCs w:val="26"/>
          <w:rtl w:val="0"/>
        </w:rPr>
        <w:t xml:space="preserve">4.4 Migration Status Dashboard</w:t>
      </w:r>
      <w:r w:rsidDel="00000000" w:rsidR="00000000" w:rsidRPr="00000000">
        <w:rPr>
          <w:rtl w:val="0"/>
        </w:rPr>
      </w:r>
    </w:p>
    <w:p w:rsidR="00000000" w:rsidDel="00000000" w:rsidP="00000000" w:rsidRDefault="00000000" w:rsidRPr="00000000" w14:paraId="000000CF">
      <w:pPr>
        <w:spacing w:after="120" w:lineRule="auto"/>
        <w:rPr/>
      </w:pPr>
      <w:r w:rsidDel="00000000" w:rsidR="00000000" w:rsidRPr="00000000">
        <w:rPr>
          <w:rFonts w:ascii="Arial" w:cs="Arial" w:eastAsia="Arial" w:hAnsi="Arial"/>
          <w:sz w:val="20"/>
          <w:szCs w:val="20"/>
          <w:rtl w:val="0"/>
        </w:rPr>
        <w:t xml:space="preserve">Our CVS-MigrationTracker dashboard provides two views:</w:t>
      </w:r>
      <w:r w:rsidDel="00000000" w:rsidR="00000000" w:rsidRPr="00000000">
        <w:rPr>
          <w:rtl w:val="0"/>
        </w:rPr>
      </w:r>
    </w:p>
    <w:p w:rsidR="00000000" w:rsidDel="00000000" w:rsidP="00000000" w:rsidRDefault="00000000" w:rsidRPr="00000000" w14:paraId="000000D0">
      <w:pPr>
        <w:spacing w:after="120" w:lineRule="auto"/>
        <w:rPr/>
      </w:pPr>
      <w:r w:rsidDel="00000000" w:rsidR="00000000" w:rsidRPr="00000000">
        <w:rPr>
          <w:rFonts w:ascii="Arial" w:cs="Arial" w:eastAsia="Arial" w:hAnsi="Arial"/>
          <w:sz w:val="20"/>
          <w:szCs w:val="20"/>
          <w:rtl w:val="0"/>
        </w:rPr>
        <w:t xml:space="preserve">Executive View: Overall programme health (RAG status), wave completion percentage, budget vs actual spend, milestone timeline with critical path highlighting, risk heatmap, and key decisions pending.</w:t>
      </w:r>
      <w:r w:rsidDel="00000000" w:rsidR="00000000" w:rsidRPr="00000000">
        <w:rPr>
          <w:rtl w:val="0"/>
        </w:rPr>
      </w:r>
    </w:p>
    <w:p w:rsidR="00000000" w:rsidDel="00000000" w:rsidP="00000000" w:rsidRDefault="00000000" w:rsidRPr="00000000" w14:paraId="000000D1">
      <w:pPr>
        <w:spacing w:after="120" w:lineRule="auto"/>
        <w:rPr/>
      </w:pPr>
      <w:r w:rsidDel="00000000" w:rsidR="00000000" w:rsidRPr="00000000">
        <w:rPr>
          <w:rFonts w:ascii="Arial" w:cs="Arial" w:eastAsia="Arial" w:hAnsi="Arial"/>
          <w:sz w:val="20"/>
          <w:szCs w:val="20"/>
          <w:rtl w:val="0"/>
        </w:rPr>
        <w:t xml:space="preserve">Technical View: Per-application migration status, replication lag metrics, cutover countdown timers, post-migration performance comparison, and real-time incident feed.</w:t>
      </w:r>
      <w:r w:rsidDel="00000000" w:rsidR="00000000" w:rsidRPr="00000000">
        <w:rPr>
          <w:rtl w:val="0"/>
        </w:rPr>
      </w:r>
    </w:p>
    <w:p w:rsidR="00000000" w:rsidDel="00000000" w:rsidP="00000000" w:rsidRDefault="00000000" w:rsidRPr="00000000" w14:paraId="000000D2">
      <w:pPr>
        <w:spacing w:after="120" w:lineRule="auto"/>
        <w:rPr/>
      </w:pPr>
      <w:r w:rsidDel="00000000" w:rsidR="00000000" w:rsidRPr="00000000">
        <w:rPr>
          <w:rFonts w:ascii="Arial" w:cs="Arial" w:eastAsia="Arial" w:hAnsi="Arial"/>
          <w:sz w:val="20"/>
          <w:szCs w:val="20"/>
          <w:rtl w:val="0"/>
        </w:rPr>
        <w:t xml:space="preserve">The dashboard is web-based, role-gated, and integrates with Jira, AWS CloudWatch, and ServiceNow for automated data feeds.</w:t>
      </w:r>
      <w:r w:rsidDel="00000000" w:rsidR="00000000" w:rsidRPr="00000000">
        <w:rPr>
          <w:rtl w:val="0"/>
        </w:rPr>
      </w:r>
    </w:p>
    <w:p w:rsidR="00000000" w:rsidDel="00000000" w:rsidP="00000000" w:rsidRDefault="00000000" w:rsidRPr="00000000" w14:paraId="000000D3">
      <w:pPr>
        <w:pStyle w:val="Heading2"/>
        <w:spacing w:after="120" w:before="240" w:lineRule="auto"/>
        <w:rPr/>
      </w:pPr>
      <w:r w:rsidDel="00000000" w:rsidR="00000000" w:rsidRPr="00000000">
        <w:rPr>
          <w:rFonts w:ascii="Arial" w:cs="Arial" w:eastAsia="Arial" w:hAnsi="Arial"/>
          <w:b w:val="1"/>
          <w:color w:val="2e5090"/>
          <w:sz w:val="26"/>
          <w:szCs w:val="26"/>
          <w:rtl w:val="0"/>
        </w:rPr>
        <w:t xml:space="preserve">4.5 Post-Migration Right-Sizing</w:t>
      </w:r>
      <w:r w:rsidDel="00000000" w:rsidR="00000000" w:rsidRPr="00000000">
        <w:rPr>
          <w:rtl w:val="0"/>
        </w:rPr>
      </w:r>
    </w:p>
    <w:p w:rsidR="00000000" w:rsidDel="00000000" w:rsidP="00000000" w:rsidRDefault="00000000" w:rsidRPr="00000000" w14:paraId="000000D4">
      <w:pPr>
        <w:spacing w:after="120" w:lineRule="auto"/>
        <w:rPr/>
      </w:pPr>
      <w:r w:rsidDel="00000000" w:rsidR="00000000" w:rsidRPr="00000000">
        <w:rPr>
          <w:rFonts w:ascii="Arial" w:cs="Arial" w:eastAsia="Arial" w:hAnsi="Arial"/>
          <w:sz w:val="20"/>
          <w:szCs w:val="20"/>
          <w:rtl w:val="0"/>
        </w:rPr>
        <w:t xml:space="preserve">After initial lift-and-shift, most workloads are over-provisioned because source instance sizing mirrors on-premises hardware allocation. Our right-sizing approach collects 30 days of performance data in the cloud environment using CloudWatch detailed monitoring, runs our CVS-RightSizer tool which analyses CPU, memory, disk I/O, and network patterns to recommend optimal instance types, presents recommendations to application owners with projected savings and risk assessment, and implements approved changes during maintenance windows with rollback capability.</w:t>
      </w:r>
      <w:r w:rsidDel="00000000" w:rsidR="00000000" w:rsidRPr="00000000">
        <w:rPr>
          <w:rtl w:val="0"/>
        </w:rPr>
      </w:r>
    </w:p>
    <w:p w:rsidR="00000000" w:rsidDel="00000000" w:rsidP="00000000" w:rsidRDefault="00000000" w:rsidRPr="00000000" w14:paraId="000000D5">
      <w:pPr>
        <w:spacing w:after="120" w:lineRule="auto"/>
        <w:rPr/>
      </w:pPr>
      <w:r w:rsidDel="00000000" w:rsidR="00000000" w:rsidRPr="00000000">
        <w:rPr>
          <w:rFonts w:ascii="Arial" w:cs="Arial" w:eastAsia="Arial" w:hAnsi="Arial"/>
          <w:sz w:val="20"/>
          <w:szCs w:val="20"/>
          <w:rtl w:val="0"/>
        </w:rPr>
        <w:t xml:space="preserve">Typical right-sizing outcome: 30–45% compute cost reduction within 60 days of migration completion.</w:t>
      </w:r>
      <w:r w:rsidDel="00000000" w:rsidR="00000000" w:rsidRPr="00000000">
        <w:rPr>
          <w:rtl w:val="0"/>
        </w:rPr>
      </w:r>
    </w:p>
    <w:p w:rsidR="00000000" w:rsidDel="00000000" w:rsidP="00000000" w:rsidRDefault="00000000" w:rsidRPr="00000000" w14:paraId="000000D6">
      <w:pPr>
        <w:rPr/>
      </w:pP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spacing w:after="160" w:before="300" w:lineRule="auto"/>
        <w:rPr/>
      </w:pPr>
      <w:r w:rsidDel="00000000" w:rsidR="00000000" w:rsidRPr="00000000">
        <w:rPr>
          <w:rFonts w:ascii="Arial" w:cs="Arial" w:eastAsia="Arial" w:hAnsi="Arial"/>
          <w:b w:val="1"/>
          <w:color w:val="1f3864"/>
          <w:sz w:val="32"/>
          <w:szCs w:val="32"/>
          <w:rtl w:val="0"/>
        </w:rPr>
        <w:t xml:space="preserve">5. Post-Migration Support &amp; Cloud Operations</w:t>
      </w:r>
      <w:r w:rsidDel="00000000" w:rsidR="00000000" w:rsidRPr="00000000">
        <w:rPr>
          <w:rtl w:val="0"/>
        </w:rPr>
      </w:r>
    </w:p>
    <w:p w:rsidR="00000000" w:rsidDel="00000000" w:rsidP="00000000" w:rsidRDefault="00000000" w:rsidRPr="00000000" w14:paraId="000000D8">
      <w:pPr>
        <w:pStyle w:val="Heading2"/>
        <w:spacing w:after="120" w:before="240" w:lineRule="auto"/>
        <w:rPr/>
      </w:pPr>
      <w:r w:rsidDel="00000000" w:rsidR="00000000" w:rsidRPr="00000000">
        <w:rPr>
          <w:rFonts w:ascii="Arial" w:cs="Arial" w:eastAsia="Arial" w:hAnsi="Arial"/>
          <w:b w:val="1"/>
          <w:color w:val="2e5090"/>
          <w:sz w:val="26"/>
          <w:szCs w:val="26"/>
          <w:rtl w:val="0"/>
        </w:rPr>
        <w:t xml:space="preserve">5.1 Hypercare Model</w:t>
      </w:r>
      <w:r w:rsidDel="00000000" w:rsidR="00000000" w:rsidRPr="00000000">
        <w:rPr>
          <w:rtl w:val="0"/>
        </w:rPr>
      </w:r>
    </w:p>
    <w:p w:rsidR="00000000" w:rsidDel="00000000" w:rsidP="00000000" w:rsidRDefault="00000000" w:rsidRPr="00000000" w14:paraId="000000D9">
      <w:pPr>
        <w:spacing w:after="120" w:lineRule="auto"/>
        <w:rPr/>
      </w:pPr>
      <w:r w:rsidDel="00000000" w:rsidR="00000000" w:rsidRPr="00000000">
        <w:rPr>
          <w:rFonts w:ascii="Arial" w:cs="Arial" w:eastAsia="Arial" w:hAnsi="Arial"/>
          <w:sz w:val="20"/>
          <w:szCs w:val="20"/>
          <w:rtl w:val="0"/>
        </w:rPr>
        <w:t xml:space="preserve">CloudVertex provides a 90-day hypercare period following each wave migration:</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2500"/>
        <w:gridCol w:w="2360"/>
        <w:tblGridChange w:id="0">
          <w:tblGrid>
            <w:gridCol w:w="2000"/>
            <w:gridCol w:w="2500"/>
            <w:gridCol w:w="2500"/>
            <w:gridCol w:w="2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tcPr>
          <w:p w:rsidR="00000000" w:rsidDel="00000000" w:rsidP="00000000" w:rsidRDefault="00000000" w:rsidRPr="00000000" w14:paraId="000000DA">
            <w:pPr>
              <w:rPr/>
            </w:pPr>
            <w:r w:rsidDel="00000000" w:rsidR="00000000" w:rsidRPr="00000000">
              <w:rPr>
                <w:rFonts w:ascii="Arial" w:cs="Arial" w:eastAsia="Arial" w:hAnsi="Arial"/>
                <w:b w:val="1"/>
                <w:color w:val="ffffff"/>
                <w:sz w:val="18"/>
                <w:szCs w:val="18"/>
                <w:rtl w:val="0"/>
              </w:rPr>
              <w:t xml:space="preserve">SLA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tcPr>
          <w:p w:rsidR="00000000" w:rsidDel="00000000" w:rsidP="00000000" w:rsidRDefault="00000000" w:rsidRPr="00000000" w14:paraId="000000DB">
            <w:pPr>
              <w:rPr/>
            </w:pPr>
            <w:r w:rsidDel="00000000" w:rsidR="00000000" w:rsidRPr="00000000">
              <w:rPr>
                <w:rFonts w:ascii="Arial" w:cs="Arial" w:eastAsia="Arial" w:hAnsi="Arial"/>
                <w:b w:val="1"/>
                <w:color w:val="ffffff"/>
                <w:sz w:val="18"/>
                <w:szCs w:val="18"/>
                <w:rtl w:val="0"/>
              </w:rPr>
              <w:t xml:space="preserve">Mission-Critical &amp; Business-Critical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tcPr>
          <w:p w:rsidR="00000000" w:rsidDel="00000000" w:rsidP="00000000" w:rsidRDefault="00000000" w:rsidRPr="00000000" w14:paraId="000000DC">
            <w:pPr>
              <w:rPr/>
            </w:pPr>
            <w:r w:rsidDel="00000000" w:rsidR="00000000" w:rsidRPr="00000000">
              <w:rPr>
                <w:rFonts w:ascii="Arial" w:cs="Arial" w:eastAsia="Arial" w:hAnsi="Arial"/>
                <w:b w:val="1"/>
                <w:color w:val="ffffff"/>
                <w:sz w:val="18"/>
                <w:szCs w:val="18"/>
                <w:rtl w:val="0"/>
              </w:rPr>
              <w:t xml:space="preserve">Standard Workloads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tcPr>
          <w:p w:rsidR="00000000" w:rsidDel="00000000" w:rsidP="00000000" w:rsidRDefault="00000000" w:rsidRPr="00000000" w14:paraId="000000DD">
            <w:pPr>
              <w:rPr/>
            </w:pPr>
            <w:r w:rsidDel="00000000" w:rsidR="00000000" w:rsidRPr="00000000">
              <w:rPr>
                <w:rFonts w:ascii="Arial" w:cs="Arial" w:eastAsia="Arial" w:hAnsi="Arial"/>
                <w:b w:val="1"/>
                <w:color w:val="ffffff"/>
                <w:sz w:val="18"/>
                <w:szCs w:val="18"/>
                <w:rtl w:val="0"/>
              </w:rPr>
              <w:t xml:space="preserve">Penalty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DE">
            <w:pPr>
              <w:rPr/>
            </w:pPr>
            <w:r w:rsidDel="00000000" w:rsidR="00000000" w:rsidRPr="00000000">
              <w:rPr>
                <w:rFonts w:ascii="Arial" w:cs="Arial" w:eastAsia="Arial" w:hAnsi="Arial"/>
                <w:sz w:val="18"/>
                <w:szCs w:val="18"/>
                <w:rtl w:val="0"/>
              </w:rPr>
              <w:t xml:space="preserve">Availability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DF">
            <w:pPr>
              <w:rPr/>
            </w:pPr>
            <w:r w:rsidDel="00000000" w:rsidR="00000000" w:rsidRPr="00000000">
              <w:rPr>
                <w:rFonts w:ascii="Arial" w:cs="Arial" w:eastAsia="Arial" w:hAnsi="Arial"/>
                <w:sz w:val="18"/>
                <w:szCs w:val="18"/>
                <w:rtl w:val="0"/>
              </w:rPr>
              <w:t xml:space="preserve">99.95%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E0">
            <w:pPr>
              <w:rPr/>
            </w:pPr>
            <w:r w:rsidDel="00000000" w:rsidR="00000000" w:rsidRPr="00000000">
              <w:rPr>
                <w:rFonts w:ascii="Arial" w:cs="Arial" w:eastAsia="Arial" w:hAnsi="Arial"/>
                <w:sz w:val="18"/>
                <w:szCs w:val="18"/>
                <w:rtl w:val="0"/>
              </w:rPr>
              <w:t xml:space="preserve">99.9%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E1">
            <w:pPr>
              <w:rPr/>
            </w:pPr>
            <w:r w:rsidDel="00000000" w:rsidR="00000000" w:rsidRPr="00000000">
              <w:rPr>
                <w:rFonts w:ascii="Arial" w:cs="Arial" w:eastAsia="Arial" w:hAnsi="Arial"/>
                <w:sz w:val="18"/>
                <w:szCs w:val="18"/>
                <w:rtl w:val="0"/>
              </w:rPr>
              <w:t xml:space="preserve">Service credit per 0.01% breach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E2">
            <w:pPr>
              <w:rPr/>
            </w:pPr>
            <w:r w:rsidDel="00000000" w:rsidR="00000000" w:rsidRPr="00000000">
              <w:rPr>
                <w:rFonts w:ascii="Arial" w:cs="Arial" w:eastAsia="Arial" w:hAnsi="Arial"/>
                <w:sz w:val="18"/>
                <w:szCs w:val="18"/>
                <w:rtl w:val="0"/>
              </w:rPr>
              <w:t xml:space="preserve">P1 Response Time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E3">
            <w:pPr>
              <w:rPr/>
            </w:pPr>
            <w:r w:rsidDel="00000000" w:rsidR="00000000" w:rsidRPr="00000000">
              <w:rPr>
                <w:rFonts w:ascii="Arial" w:cs="Arial" w:eastAsia="Arial" w:hAnsi="Arial"/>
                <w:sz w:val="18"/>
                <w:szCs w:val="18"/>
                <w:rtl w:val="0"/>
              </w:rPr>
              <w:t xml:space="preserve">15 minutes (24x7)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E4">
            <w:pPr>
              <w:rPr/>
            </w:pPr>
            <w:r w:rsidDel="00000000" w:rsidR="00000000" w:rsidRPr="00000000">
              <w:rPr>
                <w:rFonts w:ascii="Arial" w:cs="Arial" w:eastAsia="Arial" w:hAnsi="Arial"/>
                <w:sz w:val="18"/>
                <w:szCs w:val="18"/>
                <w:rtl w:val="0"/>
              </w:rPr>
              <w:t xml:space="preserve">30 minutes (24x7)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E5">
            <w:pPr>
              <w:rPr/>
            </w:pPr>
            <w:r w:rsidDel="00000000" w:rsidR="00000000" w:rsidRPr="00000000">
              <w:rPr>
                <w:rFonts w:ascii="Arial" w:cs="Arial" w:eastAsia="Arial" w:hAnsi="Arial"/>
                <w:sz w:val="18"/>
                <w:szCs w:val="18"/>
                <w:rtl w:val="0"/>
              </w:rPr>
              <w:t xml:space="preserve">Service credit if breached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E6">
            <w:pPr>
              <w:rPr/>
            </w:pPr>
            <w:r w:rsidDel="00000000" w:rsidR="00000000" w:rsidRPr="00000000">
              <w:rPr>
                <w:rFonts w:ascii="Arial" w:cs="Arial" w:eastAsia="Arial" w:hAnsi="Arial"/>
                <w:sz w:val="18"/>
                <w:szCs w:val="18"/>
                <w:rtl w:val="0"/>
              </w:rPr>
              <w:t xml:space="preserve">P2 Response Time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E7">
            <w:pPr>
              <w:rPr/>
            </w:pPr>
            <w:r w:rsidDel="00000000" w:rsidR="00000000" w:rsidRPr="00000000">
              <w:rPr>
                <w:rFonts w:ascii="Arial" w:cs="Arial" w:eastAsia="Arial" w:hAnsi="Arial"/>
                <w:sz w:val="18"/>
                <w:szCs w:val="18"/>
                <w:rtl w:val="0"/>
              </w:rPr>
              <w:t xml:space="preserve">1 hour (24x7)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E8">
            <w:pPr>
              <w:rPr/>
            </w:pPr>
            <w:r w:rsidDel="00000000" w:rsidR="00000000" w:rsidRPr="00000000">
              <w:rPr>
                <w:rFonts w:ascii="Arial" w:cs="Arial" w:eastAsia="Arial" w:hAnsi="Arial"/>
                <w:sz w:val="18"/>
                <w:szCs w:val="18"/>
                <w:rtl w:val="0"/>
              </w:rPr>
              <w:t xml:space="preserve">2 hours (business hrs)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E9">
            <w:pPr>
              <w:rPr/>
            </w:pPr>
            <w:r w:rsidDel="00000000" w:rsidR="00000000" w:rsidRPr="00000000">
              <w:rPr>
                <w:rFonts w:ascii="Arial" w:cs="Arial" w:eastAsia="Arial" w:hAnsi="Arial"/>
                <w:sz w:val="18"/>
                <w:szCs w:val="18"/>
                <w:rtl w:val="0"/>
              </w:rPr>
              <w:t xml:space="preserve">Escalation to management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EA">
            <w:pPr>
              <w:rPr/>
            </w:pPr>
            <w:r w:rsidDel="00000000" w:rsidR="00000000" w:rsidRPr="00000000">
              <w:rPr>
                <w:rFonts w:ascii="Arial" w:cs="Arial" w:eastAsia="Arial" w:hAnsi="Arial"/>
                <w:sz w:val="18"/>
                <w:szCs w:val="18"/>
                <w:rtl w:val="0"/>
              </w:rPr>
              <w:t xml:space="preserve">P1 Resolution Time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EB">
            <w:pPr>
              <w:rPr/>
            </w:pPr>
            <w:r w:rsidDel="00000000" w:rsidR="00000000" w:rsidRPr="00000000">
              <w:rPr>
                <w:rFonts w:ascii="Arial" w:cs="Arial" w:eastAsia="Arial" w:hAnsi="Arial"/>
                <w:sz w:val="18"/>
                <w:szCs w:val="18"/>
                <w:rtl w:val="0"/>
              </w:rPr>
              <w:t xml:space="preserve">4 hours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EC">
            <w:pPr>
              <w:rPr/>
            </w:pPr>
            <w:r w:rsidDel="00000000" w:rsidR="00000000" w:rsidRPr="00000000">
              <w:rPr>
                <w:rFonts w:ascii="Arial" w:cs="Arial" w:eastAsia="Arial" w:hAnsi="Arial"/>
                <w:sz w:val="18"/>
                <w:szCs w:val="18"/>
                <w:rtl w:val="0"/>
              </w:rPr>
              <w:t xml:space="preserve">8 hours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ED">
            <w:pPr>
              <w:rPr/>
            </w:pPr>
            <w:r w:rsidDel="00000000" w:rsidR="00000000" w:rsidRPr="00000000">
              <w:rPr>
                <w:rFonts w:ascii="Arial" w:cs="Arial" w:eastAsia="Arial" w:hAnsi="Arial"/>
                <w:sz w:val="18"/>
                <w:szCs w:val="18"/>
                <w:rtl w:val="0"/>
              </w:rPr>
              <w:t xml:space="preserve">Root cause analysis within 48hrs</w:t>
            </w:r>
            <w:r w:rsidDel="00000000" w:rsidR="00000000" w:rsidRPr="00000000">
              <w:rPr>
                <w:rtl w:val="0"/>
              </w:rPr>
            </w:r>
          </w:p>
        </w:tc>
      </w:tr>
    </w:tbl>
    <w:p w:rsidR="00000000" w:rsidDel="00000000" w:rsidP="00000000" w:rsidRDefault="00000000" w:rsidRPr="00000000" w14:paraId="000000EE">
      <w:pPr>
        <w:spacing w:after="120" w:lineRule="auto"/>
        <w:rPr/>
      </w:pPr>
      <w:r w:rsidDel="00000000" w:rsidR="00000000" w:rsidRPr="00000000">
        <w:rPr>
          <w:rFonts w:ascii="Arial" w:cs="Arial" w:eastAsia="Arial" w:hAnsi="Arial"/>
          <w:sz w:val="20"/>
          <w:szCs w:val="20"/>
          <w:rtl w:val="0"/>
        </w:rPr>
        <w:t xml:space="preserve">The hypercare team is a dedicated subset of the migration delivery team (not a separate support team), ensuring continuity of knowledge. Team composition: 1 Hypercare Lead (the Wave Lead transitions into this role), 2 Cloud Engineers on rotation for 24x7 coverage, and 1 Application Specialist on-call.</w:t>
      </w:r>
      <w:r w:rsidDel="00000000" w:rsidR="00000000" w:rsidRPr="00000000">
        <w:rPr>
          <w:rtl w:val="0"/>
        </w:rPr>
      </w:r>
    </w:p>
    <w:p w:rsidR="00000000" w:rsidDel="00000000" w:rsidP="00000000" w:rsidRDefault="00000000" w:rsidRPr="00000000" w14:paraId="000000EF">
      <w:pPr>
        <w:pStyle w:val="Heading2"/>
        <w:spacing w:after="120" w:before="240" w:lineRule="auto"/>
        <w:rPr/>
      </w:pPr>
      <w:r w:rsidDel="00000000" w:rsidR="00000000" w:rsidRPr="00000000">
        <w:rPr>
          <w:rFonts w:ascii="Arial" w:cs="Arial" w:eastAsia="Arial" w:hAnsi="Arial"/>
          <w:b w:val="1"/>
          <w:color w:val="2e5090"/>
          <w:sz w:val="26"/>
          <w:szCs w:val="26"/>
          <w:rtl w:val="0"/>
        </w:rPr>
        <w:t xml:space="preserve">5.2 Knowledge Transfer</w:t>
      </w:r>
      <w:r w:rsidDel="00000000" w:rsidR="00000000" w:rsidRPr="00000000">
        <w:rPr>
          <w:rtl w:val="0"/>
        </w:rPr>
      </w:r>
    </w:p>
    <w:p w:rsidR="00000000" w:rsidDel="00000000" w:rsidP="00000000" w:rsidRDefault="00000000" w:rsidRPr="00000000" w14:paraId="000000F0">
      <w:pPr>
        <w:spacing w:after="120" w:lineRule="auto"/>
        <w:rPr/>
      </w:pPr>
      <w:r w:rsidDel="00000000" w:rsidR="00000000" w:rsidRPr="00000000">
        <w:rPr>
          <w:rFonts w:ascii="Arial" w:cs="Arial" w:eastAsia="Arial" w:hAnsi="Arial"/>
          <w:sz w:val="20"/>
          <w:szCs w:val="20"/>
          <w:rtl w:val="0"/>
        </w:rPr>
        <w:t xml:space="preserve">Our knowledge transfer programme follows a structured Learn-Shadow-Lead model: Week 1–4 (Learn) involves classroom training on cloud architecture, operations runbooks, and monitoring tools. Week 5–8 (Shadow) has client team members shadow CVS engineers during live operations. Week 9–12 (Lead) has client team members lead operations with CVS engineers in advisory/backup role.</w:t>
      </w:r>
      <w:r w:rsidDel="00000000" w:rsidR="00000000" w:rsidRPr="00000000">
        <w:rPr>
          <w:rtl w:val="0"/>
        </w:rPr>
      </w:r>
    </w:p>
    <w:p w:rsidR="00000000" w:rsidDel="00000000" w:rsidP="00000000" w:rsidRDefault="00000000" w:rsidRPr="00000000" w14:paraId="000000F1">
      <w:pPr>
        <w:spacing w:after="120" w:lineRule="auto"/>
        <w:rPr/>
      </w:pPr>
      <w:r w:rsidDel="00000000" w:rsidR="00000000" w:rsidRPr="00000000">
        <w:rPr>
          <w:rFonts w:ascii="Arial" w:cs="Arial" w:eastAsia="Arial" w:hAnsi="Arial"/>
          <w:sz w:val="20"/>
          <w:szCs w:val="20"/>
          <w:rtl w:val="0"/>
        </w:rPr>
        <w:t xml:space="preserve">Documentation deliverables include cloud operations runbooks (per application), architectural decision records, monitoring and alerting playbooks, incident response procedures, cost optimisation guides, and DR testing procedures. Readiness validation is assessed through a formal skills assessment before handover sign-off.</w:t>
      </w:r>
      <w:r w:rsidDel="00000000" w:rsidR="00000000" w:rsidRPr="00000000">
        <w:rPr>
          <w:rtl w:val="0"/>
        </w:rPr>
      </w:r>
    </w:p>
    <w:p w:rsidR="00000000" w:rsidDel="00000000" w:rsidP="00000000" w:rsidRDefault="00000000" w:rsidRPr="00000000" w14:paraId="000000F2">
      <w:pPr>
        <w:pStyle w:val="Heading2"/>
        <w:spacing w:after="120" w:before="240" w:lineRule="auto"/>
        <w:rPr/>
      </w:pPr>
      <w:r w:rsidDel="00000000" w:rsidR="00000000" w:rsidRPr="00000000">
        <w:rPr>
          <w:rFonts w:ascii="Arial" w:cs="Arial" w:eastAsia="Arial" w:hAnsi="Arial"/>
          <w:b w:val="1"/>
          <w:color w:val="2e5090"/>
          <w:sz w:val="26"/>
          <w:szCs w:val="26"/>
          <w:rtl w:val="0"/>
        </w:rPr>
        <w:t xml:space="preserve">5.3 Cloud Centre of Excellence (CCoE) Enablement</w:t>
      </w:r>
      <w:r w:rsidDel="00000000" w:rsidR="00000000" w:rsidRPr="00000000">
        <w:rPr>
          <w:rtl w:val="0"/>
        </w:rPr>
      </w:r>
    </w:p>
    <w:p w:rsidR="00000000" w:rsidDel="00000000" w:rsidP="00000000" w:rsidRDefault="00000000" w:rsidRPr="00000000" w14:paraId="000000F3">
      <w:pPr>
        <w:spacing w:after="120" w:lineRule="auto"/>
        <w:rPr/>
      </w:pPr>
      <w:r w:rsidDel="00000000" w:rsidR="00000000" w:rsidRPr="00000000">
        <w:rPr>
          <w:rFonts w:ascii="Arial" w:cs="Arial" w:eastAsia="Arial" w:hAnsi="Arial"/>
          <w:sz w:val="20"/>
          <w:szCs w:val="20"/>
          <w:rtl w:val="0"/>
        </w:rPr>
        <w:t xml:space="preserve">CloudVertex has delivered CCoE enablement for 8 financial services clients. Our standard programme runs 16–20 weeks and establishes four CCoE pillars: Cloud Governance (policies, standards, guardrails, account vending), FinOps (cost management, chargeback, optimisation cadence), Security Operations (SIEM, incident response, compliance monitoring), and Platform Engineering (IaC standards, CI/CD pipelines, developer self-service).</w:t>
      </w:r>
      <w:r w:rsidDel="00000000" w:rsidR="00000000" w:rsidRPr="00000000">
        <w:rPr>
          <w:rtl w:val="0"/>
        </w:rPr>
      </w:r>
    </w:p>
    <w:p w:rsidR="00000000" w:rsidDel="00000000" w:rsidP="00000000" w:rsidRDefault="00000000" w:rsidRPr="00000000" w14:paraId="000000F4">
      <w:pPr>
        <w:spacing w:after="120" w:lineRule="auto"/>
        <w:rPr/>
      </w:pPr>
      <w:r w:rsidDel="00000000" w:rsidR="00000000" w:rsidRPr="00000000">
        <w:rPr>
          <w:rFonts w:ascii="Arial" w:cs="Arial" w:eastAsia="Arial" w:hAnsi="Arial"/>
          <w:sz w:val="20"/>
          <w:szCs w:val="20"/>
          <w:rtl w:val="0"/>
        </w:rPr>
        <w:t xml:space="preserve">Measurable outcomes from a recent comparable engagement (mid-market US broker-dealer, ~200 apps): CCoE was operational within 18 weeks, time-to-provision new environments reduced from 21 days to 45 minutes, cloud cost anomalies detected within 2 hours vs previously undetected, and 100% of new infrastructure provisioned via IaC within 6 months.</w:t>
      </w:r>
      <w:r w:rsidDel="00000000" w:rsidR="00000000" w:rsidRPr="00000000">
        <w:rPr>
          <w:rtl w:val="0"/>
        </w:rPr>
      </w:r>
    </w:p>
    <w:p w:rsidR="00000000" w:rsidDel="00000000" w:rsidP="00000000" w:rsidRDefault="00000000" w:rsidRPr="00000000" w14:paraId="000000F5">
      <w:pPr>
        <w:pStyle w:val="Heading2"/>
        <w:spacing w:after="120" w:before="240" w:lineRule="auto"/>
        <w:rPr/>
      </w:pPr>
      <w:r w:rsidDel="00000000" w:rsidR="00000000" w:rsidRPr="00000000">
        <w:rPr>
          <w:rFonts w:ascii="Arial" w:cs="Arial" w:eastAsia="Arial" w:hAnsi="Arial"/>
          <w:b w:val="1"/>
          <w:color w:val="2e5090"/>
          <w:sz w:val="26"/>
          <w:szCs w:val="26"/>
          <w:rtl w:val="0"/>
        </w:rPr>
        <w:t xml:space="preserve">5.4 Managed Cloud Services</w:t>
      </w:r>
      <w:r w:rsidDel="00000000" w:rsidR="00000000" w:rsidRPr="00000000">
        <w:rPr>
          <w:rtl w:val="0"/>
        </w:rPr>
      </w:r>
    </w:p>
    <w:p w:rsidR="00000000" w:rsidDel="00000000" w:rsidP="00000000" w:rsidRDefault="00000000" w:rsidRPr="00000000" w14:paraId="000000F6">
      <w:pPr>
        <w:spacing w:after="120" w:lineRule="auto"/>
        <w:rPr/>
      </w:pPr>
      <w:r w:rsidDel="00000000" w:rsidR="00000000" w:rsidRPr="00000000">
        <w:rPr>
          <w:rFonts w:ascii="Arial" w:cs="Arial" w:eastAsia="Arial" w:hAnsi="Arial"/>
          <w:sz w:val="20"/>
          <w:szCs w:val="20"/>
          <w:rtl w:val="0"/>
        </w:rPr>
        <w:t xml:space="preserve">For clients electing ongoing Managed Cloud Services, our operating model includes 24x7 Network Operations Centre (NOC) monitoring from our Dallas and Bangalore delivery centres, tiered support (L1 NOC, L2 Cloud Engineers, L3 Architects), ITIL-aligned incident, problem, and change management processes, monthly operational reviews and quarterly business reviews, and proactive cost optimisation recommendations delivered monthly.</w:t>
      </w:r>
      <w:r w:rsidDel="00000000" w:rsidR="00000000" w:rsidRPr="00000000">
        <w:rPr>
          <w:rtl w:val="0"/>
        </w:rPr>
      </w:r>
    </w:p>
    <w:p w:rsidR="00000000" w:rsidDel="00000000" w:rsidP="00000000" w:rsidRDefault="00000000" w:rsidRPr="00000000" w14:paraId="000000F7">
      <w:pPr>
        <w:spacing w:after="120" w:lineRule="auto"/>
        <w:rPr/>
      </w:pPr>
      <w:r w:rsidDel="00000000" w:rsidR="00000000" w:rsidRPr="00000000">
        <w:rPr>
          <w:rFonts w:ascii="Arial" w:cs="Arial" w:eastAsia="Arial" w:hAnsi="Arial"/>
          <w:sz w:val="20"/>
          <w:szCs w:val="20"/>
          <w:rtl w:val="0"/>
        </w:rPr>
        <w:t xml:space="preserve">Major incident management: P1 incidents trigger an immediate bridge call with CVS Incident Commander, client IT leadership, and relevant application owners. Communication updates every 15 minutes until resolution. Post-incident review (PIR) delivered within 48 hours.</w:t>
      </w:r>
      <w:r w:rsidDel="00000000" w:rsidR="00000000" w:rsidRPr="00000000">
        <w:rPr>
          <w:rtl w:val="0"/>
        </w:rPr>
      </w:r>
    </w:p>
    <w:p w:rsidR="00000000" w:rsidDel="00000000" w:rsidP="00000000" w:rsidRDefault="00000000" w:rsidRPr="00000000" w14:paraId="000000F8">
      <w:pPr>
        <w:pStyle w:val="Heading2"/>
        <w:spacing w:after="120" w:before="240" w:lineRule="auto"/>
        <w:rPr/>
      </w:pPr>
      <w:r w:rsidDel="00000000" w:rsidR="00000000" w:rsidRPr="00000000">
        <w:rPr>
          <w:rFonts w:ascii="Arial" w:cs="Arial" w:eastAsia="Arial" w:hAnsi="Arial"/>
          <w:b w:val="1"/>
          <w:color w:val="2e5090"/>
          <w:sz w:val="26"/>
          <w:szCs w:val="26"/>
          <w:rtl w:val="0"/>
        </w:rPr>
        <w:t xml:space="preserve">5.5 Cloud Maturity Assessment</w:t>
      </w:r>
      <w:r w:rsidDel="00000000" w:rsidR="00000000" w:rsidRPr="00000000">
        <w:rPr>
          <w:rtl w:val="0"/>
        </w:rPr>
      </w:r>
    </w:p>
    <w:p w:rsidR="00000000" w:rsidDel="00000000" w:rsidP="00000000" w:rsidRDefault="00000000" w:rsidRPr="00000000" w14:paraId="000000F9">
      <w:pPr>
        <w:spacing w:after="120" w:lineRule="auto"/>
        <w:rPr/>
      </w:pPr>
      <w:r w:rsidDel="00000000" w:rsidR="00000000" w:rsidRPr="00000000">
        <w:rPr>
          <w:rFonts w:ascii="Arial" w:cs="Arial" w:eastAsia="Arial" w:hAnsi="Arial"/>
          <w:sz w:val="20"/>
          <w:szCs w:val="20"/>
          <w:rtl w:val="0"/>
        </w:rPr>
        <w:t xml:space="preserve">We measure cloud maturity using our proprietary CVS Cloud Maturity Model, benchmarked against the AWS Cloud Adoption Framework. The model assesses 6 dimensions: Business, People, Governance, Platform, Security, and Operations, each scored on a 1–5 maturity scale. We conduct baseline assessment at programme start, mid-programme assessment after initial waves complete, and final assessment at programme close.</w:t>
      </w:r>
      <w:r w:rsidDel="00000000" w:rsidR="00000000" w:rsidRPr="00000000">
        <w:rPr>
          <w:rtl w:val="0"/>
        </w:rPr>
      </w:r>
    </w:p>
    <w:p w:rsidR="00000000" w:rsidDel="00000000" w:rsidP="00000000" w:rsidRDefault="00000000" w:rsidRPr="00000000" w14:paraId="000000FA">
      <w:pPr>
        <w:rPr/>
      </w:pPr>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1"/>
        <w:spacing w:after="160" w:before="300" w:lineRule="auto"/>
        <w:rPr/>
      </w:pPr>
      <w:r w:rsidDel="00000000" w:rsidR="00000000" w:rsidRPr="00000000">
        <w:rPr>
          <w:rFonts w:ascii="Arial" w:cs="Arial" w:eastAsia="Arial" w:hAnsi="Arial"/>
          <w:b w:val="1"/>
          <w:color w:val="1f3864"/>
          <w:sz w:val="32"/>
          <w:szCs w:val="32"/>
          <w:rtl w:val="0"/>
        </w:rPr>
        <w:t xml:space="preserve">6. Proprietary Tooling &amp; Accelerators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860"/>
        <w:gridCol w:w="2500"/>
        <w:tblGridChange w:id="0">
          <w:tblGrid>
            <w:gridCol w:w="2000"/>
            <w:gridCol w:w="4860"/>
            <w:gridCol w:w="25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tcPr>
          <w:p w:rsidR="00000000" w:rsidDel="00000000" w:rsidP="00000000" w:rsidRDefault="00000000" w:rsidRPr="00000000" w14:paraId="000000FC">
            <w:pPr>
              <w:rPr/>
            </w:pPr>
            <w:r w:rsidDel="00000000" w:rsidR="00000000" w:rsidRPr="00000000">
              <w:rPr>
                <w:rFonts w:ascii="Arial" w:cs="Arial" w:eastAsia="Arial" w:hAnsi="Arial"/>
                <w:b w:val="1"/>
                <w:color w:val="ffffff"/>
                <w:sz w:val="18"/>
                <w:szCs w:val="18"/>
                <w:rtl w:val="0"/>
              </w:rPr>
              <w:t xml:space="preserve">Tool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tcPr>
          <w:p w:rsidR="00000000" w:rsidDel="00000000" w:rsidP="00000000" w:rsidRDefault="00000000" w:rsidRPr="00000000" w14:paraId="000000FD">
            <w:pPr>
              <w:rPr/>
            </w:pPr>
            <w:r w:rsidDel="00000000" w:rsidR="00000000" w:rsidRPr="00000000">
              <w:rPr>
                <w:rFonts w:ascii="Arial" w:cs="Arial" w:eastAsia="Arial" w:hAnsi="Arial"/>
                <w:b w:val="1"/>
                <w:color w:val="ffffff"/>
                <w:sz w:val="18"/>
                <w:szCs w:val="18"/>
                <w:rtl w:val="0"/>
              </w:rPr>
              <w:t xml:space="preserve">Description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tcPr>
          <w:p w:rsidR="00000000" w:rsidDel="00000000" w:rsidP="00000000" w:rsidRDefault="00000000" w:rsidRPr="00000000" w14:paraId="000000FE">
            <w:pPr>
              <w:rPr/>
            </w:pPr>
            <w:r w:rsidDel="00000000" w:rsidR="00000000" w:rsidRPr="00000000">
              <w:rPr>
                <w:rFonts w:ascii="Arial" w:cs="Arial" w:eastAsia="Arial" w:hAnsi="Arial"/>
                <w:b w:val="1"/>
                <w:color w:val="ffffff"/>
                <w:sz w:val="18"/>
                <w:szCs w:val="18"/>
                <w:rtl w:val="0"/>
              </w:rPr>
              <w:t xml:space="preserve">Phase Used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FF">
            <w:pPr>
              <w:rPr/>
            </w:pPr>
            <w:r w:rsidDel="00000000" w:rsidR="00000000" w:rsidRPr="00000000">
              <w:rPr>
                <w:rFonts w:ascii="Arial" w:cs="Arial" w:eastAsia="Arial" w:hAnsi="Arial"/>
                <w:sz w:val="18"/>
                <w:szCs w:val="18"/>
                <w:rtl w:val="0"/>
              </w:rPr>
              <w:t xml:space="preserve">CVS-DiscoverX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00">
            <w:pPr>
              <w:rPr/>
            </w:pPr>
            <w:r w:rsidDel="00000000" w:rsidR="00000000" w:rsidRPr="00000000">
              <w:rPr>
                <w:rFonts w:ascii="Arial" w:cs="Arial" w:eastAsia="Arial" w:hAnsi="Arial"/>
                <w:sz w:val="18"/>
                <w:szCs w:val="18"/>
                <w:rtl w:val="0"/>
              </w:rPr>
              <w:t xml:space="preserve">Multi-tool discovery orchestrator. Aggregates and normalises data from AWS Migration Evaluator, CloudAmize, and custom agents into unified inventory.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01">
            <w:pPr>
              <w:rPr/>
            </w:pPr>
            <w:r w:rsidDel="00000000" w:rsidR="00000000" w:rsidRPr="00000000">
              <w:rPr>
                <w:rFonts w:ascii="Arial" w:cs="Arial" w:eastAsia="Arial" w:hAnsi="Arial"/>
                <w:sz w:val="18"/>
                <w:szCs w:val="18"/>
                <w:rtl w:val="0"/>
              </w:rPr>
              <w:t xml:space="preserve">Discovery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102">
            <w:pPr>
              <w:rPr/>
            </w:pPr>
            <w:r w:rsidDel="00000000" w:rsidR="00000000" w:rsidRPr="00000000">
              <w:rPr>
                <w:rFonts w:ascii="Arial" w:cs="Arial" w:eastAsia="Arial" w:hAnsi="Arial"/>
                <w:sz w:val="18"/>
                <w:szCs w:val="18"/>
                <w:rtl w:val="0"/>
              </w:rPr>
              <w:t xml:space="preserve">CVS-WavePlanner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103">
            <w:pPr>
              <w:rPr/>
            </w:pPr>
            <w:r w:rsidDel="00000000" w:rsidR="00000000" w:rsidRPr="00000000">
              <w:rPr>
                <w:rFonts w:ascii="Arial" w:cs="Arial" w:eastAsia="Arial" w:hAnsi="Arial"/>
                <w:sz w:val="18"/>
                <w:szCs w:val="18"/>
                <w:rtl w:val="0"/>
              </w:rPr>
              <w:t xml:space="preserve">Dependency-aware wave planning engine. Analyses ADM data to recommend optimal wave sequencing with risk scoring.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104">
            <w:pPr>
              <w:rPr/>
            </w:pPr>
            <w:r w:rsidDel="00000000" w:rsidR="00000000" w:rsidRPr="00000000">
              <w:rPr>
                <w:rFonts w:ascii="Arial" w:cs="Arial" w:eastAsia="Arial" w:hAnsi="Arial"/>
                <w:sz w:val="18"/>
                <w:szCs w:val="18"/>
                <w:rtl w:val="0"/>
              </w:rPr>
              <w:t xml:space="preserve">Planning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05">
            <w:pPr>
              <w:rPr/>
            </w:pPr>
            <w:r w:rsidDel="00000000" w:rsidR="00000000" w:rsidRPr="00000000">
              <w:rPr>
                <w:rFonts w:ascii="Arial" w:cs="Arial" w:eastAsia="Arial" w:hAnsi="Arial"/>
                <w:sz w:val="18"/>
                <w:szCs w:val="18"/>
                <w:rtl w:val="0"/>
              </w:rPr>
              <w:t xml:space="preserve">CVS-LandingZone-FS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06">
            <w:pPr>
              <w:rPr/>
            </w:pPr>
            <w:r w:rsidDel="00000000" w:rsidR="00000000" w:rsidRPr="00000000">
              <w:rPr>
                <w:rFonts w:ascii="Arial" w:cs="Arial" w:eastAsia="Arial" w:hAnsi="Arial"/>
                <w:sz w:val="18"/>
                <w:szCs w:val="18"/>
                <w:rtl w:val="0"/>
              </w:rPr>
              <w:t xml:space="preserve">Financial services Landing Zone Terraform library. 120+ pre-built modules covering account structure, networking, security, and compliance controls.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07">
            <w:pPr>
              <w:rPr/>
            </w:pPr>
            <w:r w:rsidDel="00000000" w:rsidR="00000000" w:rsidRPr="00000000">
              <w:rPr>
                <w:rFonts w:ascii="Arial" w:cs="Arial" w:eastAsia="Arial" w:hAnsi="Arial"/>
                <w:sz w:val="18"/>
                <w:szCs w:val="18"/>
                <w:rtl w:val="0"/>
              </w:rPr>
              <w:t xml:space="preserve">Architecture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108">
            <w:pPr>
              <w:rPr/>
            </w:pPr>
            <w:r w:rsidDel="00000000" w:rsidR="00000000" w:rsidRPr="00000000">
              <w:rPr>
                <w:rFonts w:ascii="Arial" w:cs="Arial" w:eastAsia="Arial" w:hAnsi="Arial"/>
                <w:sz w:val="18"/>
                <w:szCs w:val="18"/>
                <w:rtl w:val="0"/>
              </w:rPr>
              <w:t xml:space="preserve">CVS-MigrationTracker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109">
            <w:pPr>
              <w:rPr/>
            </w:pPr>
            <w:r w:rsidDel="00000000" w:rsidR="00000000" w:rsidRPr="00000000">
              <w:rPr>
                <w:rFonts w:ascii="Arial" w:cs="Arial" w:eastAsia="Arial" w:hAnsi="Arial"/>
                <w:sz w:val="18"/>
                <w:szCs w:val="18"/>
                <w:rtl w:val="0"/>
              </w:rPr>
              <w:t xml:space="preserve">Real-time migration dashboard with executive and technical views. Integrates with Jira, AWS, and ServiceNow.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10A">
            <w:pPr>
              <w:rPr/>
            </w:pPr>
            <w:r w:rsidDel="00000000" w:rsidR="00000000" w:rsidRPr="00000000">
              <w:rPr>
                <w:rFonts w:ascii="Arial" w:cs="Arial" w:eastAsia="Arial" w:hAnsi="Arial"/>
                <w:sz w:val="18"/>
                <w:szCs w:val="18"/>
                <w:rtl w:val="0"/>
              </w:rPr>
              <w:t xml:space="preserve">Execution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0B">
            <w:pPr>
              <w:rPr/>
            </w:pPr>
            <w:r w:rsidDel="00000000" w:rsidR="00000000" w:rsidRPr="00000000">
              <w:rPr>
                <w:rFonts w:ascii="Arial" w:cs="Arial" w:eastAsia="Arial" w:hAnsi="Arial"/>
                <w:sz w:val="18"/>
                <w:szCs w:val="18"/>
                <w:rtl w:val="0"/>
              </w:rPr>
              <w:t xml:space="preserve">CVS-RightSizer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0C">
            <w:pPr>
              <w:rPr/>
            </w:pPr>
            <w:r w:rsidDel="00000000" w:rsidR="00000000" w:rsidRPr="00000000">
              <w:rPr>
                <w:rFonts w:ascii="Arial" w:cs="Arial" w:eastAsia="Arial" w:hAnsi="Arial"/>
                <w:sz w:val="18"/>
                <w:szCs w:val="18"/>
                <w:rtl w:val="0"/>
              </w:rPr>
              <w:t xml:space="preserve">Post-migration instance optimisation tool. Analyses 30-day usage patterns to recommend optimal instance types with savings projections.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0D">
            <w:pPr>
              <w:rPr/>
            </w:pPr>
            <w:r w:rsidDel="00000000" w:rsidR="00000000" w:rsidRPr="00000000">
              <w:rPr>
                <w:rFonts w:ascii="Arial" w:cs="Arial" w:eastAsia="Arial" w:hAnsi="Arial"/>
                <w:sz w:val="18"/>
                <w:szCs w:val="18"/>
                <w:rtl w:val="0"/>
              </w:rPr>
              <w:t xml:space="preserve">Post-Migration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10E">
            <w:pPr>
              <w:rPr/>
            </w:pPr>
            <w:r w:rsidDel="00000000" w:rsidR="00000000" w:rsidRPr="00000000">
              <w:rPr>
                <w:rFonts w:ascii="Arial" w:cs="Arial" w:eastAsia="Arial" w:hAnsi="Arial"/>
                <w:sz w:val="18"/>
                <w:szCs w:val="18"/>
                <w:rtl w:val="0"/>
              </w:rPr>
              <w:t xml:space="preserve">CVS-DRTest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10F">
            <w:pPr>
              <w:rPr/>
            </w:pPr>
            <w:r w:rsidDel="00000000" w:rsidR="00000000" w:rsidRPr="00000000">
              <w:rPr>
                <w:rFonts w:ascii="Arial" w:cs="Arial" w:eastAsia="Arial" w:hAnsi="Arial"/>
                <w:sz w:val="18"/>
                <w:szCs w:val="18"/>
                <w:rtl w:val="0"/>
              </w:rPr>
              <w:t xml:space="preserve">Automated DR testing framework. Executes failover/failback scenarios and validates RTO/RPO targets against defined thresholds.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110">
            <w:pPr>
              <w:rPr/>
            </w:pPr>
            <w:r w:rsidDel="00000000" w:rsidR="00000000" w:rsidRPr="00000000">
              <w:rPr>
                <w:rFonts w:ascii="Arial" w:cs="Arial" w:eastAsia="Arial" w:hAnsi="Arial"/>
                <w:sz w:val="18"/>
                <w:szCs w:val="18"/>
                <w:rtl w:val="0"/>
              </w:rPr>
              <w:t xml:space="preserve">Architecture, Operations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11">
            <w:pPr>
              <w:rPr/>
            </w:pPr>
            <w:r w:rsidDel="00000000" w:rsidR="00000000" w:rsidRPr="00000000">
              <w:rPr>
                <w:rFonts w:ascii="Arial" w:cs="Arial" w:eastAsia="Arial" w:hAnsi="Arial"/>
                <w:sz w:val="18"/>
                <w:szCs w:val="18"/>
                <w:rtl w:val="0"/>
              </w:rPr>
              <w:t xml:space="preserve">CVS-SNOW-AWS-v3.2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12">
            <w:pPr>
              <w:rPr/>
            </w:pPr>
            <w:r w:rsidDel="00000000" w:rsidR="00000000" w:rsidRPr="00000000">
              <w:rPr>
                <w:rFonts w:ascii="Arial" w:cs="Arial" w:eastAsia="Arial" w:hAnsi="Arial"/>
                <w:sz w:val="18"/>
                <w:szCs w:val="18"/>
                <w:rtl w:val="0"/>
              </w:rPr>
              <w:t xml:space="preserve">Pre-built ServiceNow-AWS integration package. 14 integration flows covering CMDB, Incident, Change, and ITFM modules.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13">
            <w:pPr>
              <w:rPr/>
            </w:pPr>
            <w:r w:rsidDel="00000000" w:rsidR="00000000" w:rsidRPr="00000000">
              <w:rPr>
                <w:rFonts w:ascii="Arial" w:cs="Arial" w:eastAsia="Arial" w:hAnsi="Arial"/>
                <w:sz w:val="18"/>
                <w:szCs w:val="18"/>
                <w:rtl w:val="0"/>
              </w:rPr>
              <w:t xml:space="preserve">Operations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114">
            <w:pPr>
              <w:rPr/>
            </w:pPr>
            <w:r w:rsidDel="00000000" w:rsidR="00000000" w:rsidRPr="00000000">
              <w:rPr>
                <w:rFonts w:ascii="Arial" w:cs="Arial" w:eastAsia="Arial" w:hAnsi="Arial"/>
                <w:sz w:val="18"/>
                <w:szCs w:val="18"/>
                <w:rtl w:val="0"/>
              </w:rPr>
              <w:t xml:space="preserve">CVS-AuditCollector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115">
            <w:pPr>
              <w:rPr/>
            </w:pPr>
            <w:r w:rsidDel="00000000" w:rsidR="00000000" w:rsidRPr="00000000">
              <w:rPr>
                <w:rFonts w:ascii="Arial" w:cs="Arial" w:eastAsia="Arial" w:hAnsi="Arial"/>
                <w:sz w:val="18"/>
                <w:szCs w:val="18"/>
                <w:rtl w:val="0"/>
              </w:rPr>
              <w:t xml:space="preserve">Automated compliance evidence collection for SOC 2, PCI-DSS, and ISO 27001 audits. Generates audit-ready evidence packages.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116">
            <w:pPr>
              <w:rPr/>
            </w:pPr>
            <w:r w:rsidDel="00000000" w:rsidR="00000000" w:rsidRPr="00000000">
              <w:rPr>
                <w:rFonts w:ascii="Arial" w:cs="Arial" w:eastAsia="Arial" w:hAnsi="Arial"/>
                <w:sz w:val="18"/>
                <w:szCs w:val="18"/>
                <w:rtl w:val="0"/>
              </w:rPr>
              <w:t xml:space="preserve">Ongoing</w:t>
            </w:r>
            <w:r w:rsidDel="00000000" w:rsidR="00000000" w:rsidRPr="00000000">
              <w:rPr>
                <w:rtl w:val="0"/>
              </w:rPr>
            </w:r>
          </w:p>
        </w:tc>
      </w:tr>
    </w:tbl>
    <w:p w:rsidR="00000000" w:rsidDel="00000000" w:rsidP="00000000" w:rsidRDefault="00000000" w:rsidRPr="00000000" w14:paraId="00000117">
      <w:pPr>
        <w:spacing w:before="400" w:lineRule="auto"/>
        <w:jc w:val="center"/>
        <w:rPr/>
      </w:pPr>
      <w:r w:rsidDel="00000000" w:rsidR="00000000" w:rsidRPr="00000000">
        <w:rPr>
          <w:rFonts w:ascii="Arial" w:cs="Arial" w:eastAsia="Arial" w:hAnsi="Arial"/>
          <w:i w:val="1"/>
          <w:color w:val="888888"/>
          <w:sz w:val="18"/>
          <w:szCs w:val="18"/>
          <w:rtl w:val="0"/>
        </w:rPr>
        <w:t xml:space="preserve">— End of Document —</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19">
    <w:pPr>
      <w:jc w:val="center"/>
      <w:rPr/>
    </w:pPr>
    <w:r w:rsidDel="00000000" w:rsidR="00000000" w:rsidRPr="00000000">
      <w:rPr>
        <w:rFonts w:ascii="Arial" w:cs="Arial" w:eastAsia="Arial" w:hAnsi="Arial"/>
        <w:color w:val="888888"/>
        <w:sz w:val="16"/>
        <w:szCs w:val="16"/>
        <w:rtl w:val="0"/>
      </w:rPr>
      <w:t xml:space="preserve">Page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18">
    <w:pPr>
      <w:jc w:val="right"/>
      <w:rPr/>
    </w:pPr>
    <w:r w:rsidDel="00000000" w:rsidR="00000000" w:rsidRPr="00000000">
      <w:rPr>
        <w:rFonts w:ascii="Arial" w:cs="Arial" w:eastAsia="Arial" w:hAnsi="Arial"/>
        <w:i w:val="1"/>
        <w:color w:val="888888"/>
        <w:sz w:val="16"/>
        <w:szCs w:val="16"/>
        <w:rtl w:val="0"/>
      </w:rPr>
      <w:t xml:space="preserve">CloudVertex Solutions | Methodology &amp; Tooling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i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i w:val="0"/>
      <w:smallCaps w:val="0"/>
      <w:strike w:val="0"/>
      <w:color w:val="2e509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i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