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color w:val="1f3864"/>
          <w:sz w:val="40"/>
          <w:szCs w:val="40"/>
          <w:rtl w:val="0"/>
        </w:rPr>
        <w:t xml:space="preserve">CLOUDVERTEX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Financial Services Case Studies &amp; Client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Version 3.0 | Updated: February 2025 |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Case Study 1: Patriot Wealth Advisors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 xml:space="preserve">Cloud Migration for a Mid-Market Wealth Management 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2e5090"/>
          <w:sz w:val="26"/>
          <w:szCs w:val="26"/>
          <w:rtl w:val="0"/>
        </w:rPr>
        <w:t xml:space="preserve">Client Profile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Wealth Management &amp; Financial Advisory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Headquarters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Boston, Massachusetts, USA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Assets Under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USD 36 billion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IT 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920 servers, 145 applications, 2 data centres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Programme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USD 14.2M (18-month engagement)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Cloud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(primary)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Regulatory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SEC, FINRA, PCI-DSS, SOC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2e5090"/>
          <w:sz w:val="26"/>
          <w:szCs w:val="26"/>
          <w:rtl w:val="0"/>
        </w:rPr>
        <w:t xml:space="preserve">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Patriot Wealth Advisors operated two ageing data centres in Boston and Charlotte with hardware approaching end-of-life. The firm faced a USD 18M hardware refresh decision, increasing regulatory scrutiny on data residency and encryption practices, 21-day provisioning cycles constraining digital initiatives, and a critical DR weakness flagged in consecutive ITGC audits (DR failover test took 96 hours and was incomplete).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2e5090"/>
          <w:sz w:val="26"/>
          <w:szCs w:val="26"/>
          <w:rtl w:val="0"/>
        </w:rPr>
        <w:t xml:space="preserve">Solution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CloudVertex delivered a full-scope cloud migration programme across five workstreams. Discovery &amp; Assessment took 10 weeks using CVS-DiscoverX across both data centres, producing a complete application dependency map for all 145 applications. We classified applications using the 6-R framework with regulatory overlay: 18 Rehosted, 42 Replatformed, 12 Refactored, 28 Repurchased (SaaS), 22 Retired, and 23 Retained.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Migration was executed across 8 waves over 14 months using our Migration Factory with a peak team of 22 engineers. Cloud architecture included CVS-LandingZone-FS with AWS Control Tower, 14 AWS accounts, hub-and-spoke VPC architecture with Network Firewall inspection, and dual 10Gbps Direct Connect circuits.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Post-migration included 90-day hypercare per wave and CCoE establishment within 16 weeks.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2e5090"/>
          <w:sz w:val="26"/>
          <w:szCs w:val="26"/>
          <w:rtl w:val="0"/>
        </w:rPr>
        <w:t xml:space="preserve">Outcomes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Infrastructure Cost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34% reduction in Year 1 (target was 30%)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DR Failover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Reduced from 96 hours to 12 minutes (Tier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Environment Provisioning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Reduced from 21 days to 35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Passed first PCI-DSS QSA audit post-migration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Unplanned Downtime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Zero across all migration waves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CCoE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Operational in 16 weeks (target was 20)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Case Study 2: Continental Guaranty Insurance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 xml:space="preserve">Multi-Cloud Migration &amp; DR Transformation for a National Insurance Carrier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2e5090"/>
          <w:sz w:val="26"/>
          <w:szCs w:val="26"/>
          <w:rtl w:val="0"/>
        </w:rPr>
        <w:t xml:space="preserve">Client Profile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Property &amp; Casualty Insurance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Headquarters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Hartford, Connecticut, USA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IT 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3,200 servers, 310 applications, 3 data centres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Programme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USD 32M (24-month engagement)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Cloud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(primary) + Azure (specific workloads)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Regulatory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State insurance regulations, NAIC, SOC 2, PCI-DSS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2e5090"/>
          <w:sz w:val="26"/>
          <w:szCs w:val="26"/>
          <w:rtl w:val="0"/>
        </w:rPr>
        <w:t xml:space="preserve">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Continental Guaranty Insurance operated three data centres with significant technical debt. The firm needed Active-Active DR for its claims processing platform (USD 12B claims annually, max 5 minutes downtime), multi-state regulatory compliance, and migration of a 25-year-old mainframe-based policy administration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2e5090"/>
          <w:sz w:val="26"/>
          <w:szCs w:val="26"/>
          <w:rtl w:val="0"/>
        </w:rPr>
        <w:t xml:space="preserve">Solution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Discovery took 14 weeks across 3 sites with a team of 12, identifying 310 applications with 48 classified as mission-critical. The 6-R analysis recommended retaining the mainframe policy admin system with an API gateway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Migration was executed across 12 waves over 18 months with a peak Migration Factory of 38 engineers running 3 waves in parallel. The DR transformation delivered Active-Active architecture using AWS Global Accelerator, Route 53 health checks, and Aurora Global Database, achieving RTO of 8 minutes and RPO of 2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ServiceNow integration was a significant component: CGI ran ServiceNow Tokyo release and required full CMDB synchronisation, automated incident creation, and change management integration. We deployed CVS-SNOW-AWS-v3.2 and completed the integration in 4 weeks.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2e5090"/>
          <w:sz w:val="26"/>
          <w:szCs w:val="26"/>
          <w:rtl w:val="0"/>
        </w:rPr>
        <w:t xml:space="preserve">Outcomes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Infrastructure Cost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28% reduction in Year 1 (3 DCs to 0 on-prem)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DR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Active-Active: RTO 8 min, RPO 2 min (claims platform)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Applications Migrated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262 of 310 (48 Retained with cloud integration)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ServiceNow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Full CMDB, Incident, Change integration in 4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 Centres Decommissioned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 of 3 (Hartford retained for mainframe)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Regulatory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Passed NAIC Model Audit and SOC 2 Type 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Case Study 3: Keystone Capital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 xml:space="preserve">Cloud Migration &amp; CCoE Establishment for a Broker-Dealer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2e5090"/>
          <w:sz w:val="26"/>
          <w:szCs w:val="26"/>
          <w:rtl w:val="0"/>
        </w:rPr>
        <w:t xml:space="preserve">Client Profile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Broker-Dealer / Capital Markets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Headquarters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New York, New York, USA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IT 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480 servers, 92 applications, 1 data centre + colo DR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Programme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USD 8.6M (12-month engagement)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Cloud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Regulatory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 Rule 17a-4 (WORM), FINRA, PCI-DSS, SOC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2e5090"/>
          <w:sz w:val="26"/>
          <w:szCs w:val="26"/>
          <w:rtl w:val="0"/>
        </w:rPr>
        <w:t xml:space="preserve">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Keystone Capital Markets is a mid-tier broker-dealer subject to SEC Rule 17a-4 mandating WORM storage for all trade records and communications. The firm needed to migrate to cloud while ensuring immutable record retention that would withstand SEC examination, maintaining sub-millisecond latency for market data feeds, and building internal cloud capabilities from scratch (zero cloud experience in the IT team).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2e5090"/>
          <w:sz w:val="26"/>
          <w:szCs w:val="26"/>
          <w:rtl w:val="0"/>
        </w:rPr>
        <w:t xml:space="preserve">Solution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Discovery took 8 weeks. Key finding: 14 applications directly handled SEC-regulated records requiring WORM storage, making them the highest-complexity migration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CloudVertex designed a purpose-built WORM architecture using S3 Object Lock in Compliance Mode with 6-year retention for trade records and 3-year for communications. Governance bypass was explicitly disabled. Automated validation continuously tests immutability. The architecture was reviewed and approved by external SEC compliance counsel (Sullivan &amp; Cromwell) prior to migration.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CCoE enablement was front-loaded given the zero cloud baseline. We ran an intensive 20-week programme starting in parallel with Wave 1 migrations. By Wave 4, the client’s internal team was leading migrations with CVS in advisory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2e5090"/>
          <w:sz w:val="26"/>
          <w:szCs w:val="26"/>
          <w:rtl w:val="0"/>
        </w:rPr>
        <w:t xml:space="preserve">Outcomes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 17a-4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Passed SEC examination 6 months post-migration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WORM Immutability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Zero successful modification attempts in 12 months of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Infrastructure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31% reduction in Year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CCoE Maturity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Level 3 (Defined) achieved in 20 weeks from 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Team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Client team leading migrations by Wave 4 (month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Market Data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Maintained sub-millisecond; 15% improvement post-migration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Client Reference Contacts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following client references are available upon request. Please coordinate reference calls through CloudVertex’s account team.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2000"/>
        <w:gridCol w:w="2500"/>
        <w:gridCol w:w="2560"/>
        <w:tblGridChange w:id="0">
          <w:tblGrid>
            <w:gridCol w:w="2300"/>
            <w:gridCol w:w="2000"/>
            <w:gridCol w:w="25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Patriot Wealth Advisors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Michael Torres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Weekdays 9–5 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Continental Guaranty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Jennifer Walsh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VP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Weekdays 10–4 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Keystone Capital Markets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Robert Kim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Head of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Tue/Thu 2–5 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color w:val="888888"/>
          <w:sz w:val="18"/>
          <w:szCs w:val="18"/>
          <w:rtl w:val="0"/>
        </w:rPr>
        <w:t xml:space="preserve">— End of Document —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96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95">
    <w:pPr>
      <w:jc w:val="right"/>
      <w:rPr/>
    </w:pPr>
    <w:r w:rsidDel="00000000" w:rsidR="00000000" w:rsidRPr="00000000">
      <w:rPr>
        <w:rFonts w:ascii="Arial" w:cs="Arial" w:eastAsia="Arial" w:hAnsi="Arial"/>
        <w:i w:val="1"/>
        <w:color w:val="888888"/>
        <w:sz w:val="16"/>
        <w:szCs w:val="16"/>
        <w:rtl w:val="0"/>
      </w:rPr>
      <w:t xml:space="preserve">CloudVertex Solutions | Case Studies |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2e509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