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40"/>
          <w:szCs w:val="40"/>
          <w:rtl w:val="0"/>
        </w:rPr>
        <w:t xml:space="preserve">CLOUDVERTEX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Reference Architectures, Templates &amp; Standard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Version 5.0 | Updated: January 2025 |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1. Standard Landing Zone Architecture – Financial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1.1 AWS Account Structure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000"/>
        <w:gridCol w:w="2000"/>
        <w:gridCol w:w="2160"/>
        <w:tblGridChange w:id="0">
          <w:tblGrid>
            <w:gridCol w:w="1200"/>
            <w:gridCol w:w="2000"/>
            <w:gridCol w:w="2000"/>
            <w:gridCol w:w="2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Organizations, billing, SCPs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CTO office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GuardDuty, Security Hub, 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CloudTrail, VPC Flow Logs,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Read-only (audit)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AD, DNS, CI/CD,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Platform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Network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Transit Gateway, Direct Connect,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Network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 (per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Production workloads separated by 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Restricted (change-controlled)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Pre-production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 + Ops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Development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Developer self-service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Experimentation (auto-nuke after 7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IT 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1.2 Standard Service Control Policies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SCP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RegionRestrict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 all API calls outside approved US 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EnforceEncryption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 S3 PutObject without SSE, deny unencrypted EBS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DenyPublicS3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 S3 bucket policy changes granting public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RequireIMDSv2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 EC2 RunInstances without IMDSv2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Workloads 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DenyRootUser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 all actions by root user (except break-glass)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OUs except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EnforceCloudTrail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Deny StopLogging and DeleteTrail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2. Standard Network Topology – Hub-and-Spoke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2.1 VPC Design Template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500"/>
        <w:gridCol w:w="1500"/>
        <w:gridCol w:w="1500"/>
        <w:gridCol w:w="1560"/>
        <w:tblGridChange w:id="0">
          <w:tblGrid>
            <w:gridCol w:w="1800"/>
            <w:gridCol w:w="1500"/>
            <w:gridCol w:w="1500"/>
            <w:gridCol w:w="1500"/>
            <w:gridCol w:w="15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Hub (Shared Services)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10.0.0.0/16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(2 per 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Firewall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Prod-PCI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10.1.0.0/16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(isolated)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None (PrivateLink)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Network Firewall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Prod-Standard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10.2.0.0/16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Via Hub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10.10.0.0/16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Via Hub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10.20.0.0/16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Via Hub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DR-Hub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10.100.0.0/16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Firewall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Connectivity: Dual 10 Gbps Direct Connect circuits from client primary DC to primary region with BGP failover. VPN backup over public internet. All inter-VPC traffic routes through Transit Gateway with route table isolation. Centralised internet egress through Hub VPC NAT Gateways.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3. Standard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3.1 IAM Framework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Standard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Identity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SSO federated with client AD via SAML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Single sign-on for all AWS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Permission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Role-based permission sets mapped to job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Admin, Developer, ReadOnly, SecurityAudit, FinOps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IAM roles with least-privilege; no long-lived access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application-to-AWS API access via IAM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MFA enforced; 1-hour session duration for 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Break-glass procedure for emergency root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Quarterly certification via IAM Access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Automated unused permission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3.2 Monitoring &amp; Threat Detection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deployment: Amazon GuardDuty for network and account-level threat detection, AWS Security Hub as centralised compliance dashboard, Amazon Inspector for vulnerability scanning, AWS WAF with OWASP Top 10 managed rules on public-facing ALBs, Amazon Macie for S3 sensitive data discovery. All security logs forwarded to client SIEM via Amazon Kinesis Data Firehose.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4. Standard Risk Register – Financial Services Cloud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Pre-populated with common risks from CloudVertex’s financial services migration engagements. Customised per client during Discovery.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700"/>
        <w:gridCol w:w="700"/>
        <w:gridCol w:w="700"/>
        <w:gridCol w:w="700"/>
        <w:gridCol w:w="2500"/>
        <w:gridCol w:w="2460"/>
        <w:tblGridChange w:id="0">
          <w:tblGrid>
            <w:gridCol w:w="600"/>
            <w:gridCol w:w="1700"/>
            <w:gridCol w:w="700"/>
            <w:gridCol w:w="700"/>
            <w:gridCol w:w="700"/>
            <w:gridCol w:w="25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Prob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Undiscovered application dependencies cause migration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30-day observation; CVS-DiscoverX cross-validation; manual Tier 1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Cloud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Regulatory objection to cloud migration of specific 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Early compliance engagement; regulatory pre-approval; Retain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 Compliance + CVS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migration exceeds planned downtime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Pre-sync; incremental replication; cutover rehearsals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Wave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cost overrun due to over-provisioning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30-day right-sizing; RI/SP strategy; FinOps governance from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FinOps + Client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Key personnel turnover during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Named backups; knowledge docs; retention incentives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Engagement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unit resistance delays wave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Early stakeholder alignment; executive sponsorship; deferred wave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 CTO + CVS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ITSM integration complexity exceeds estimates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Pre-built CVS-SNOW-AWS package; early integration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Integration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 failover does not meet RTO/RPO in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Pre-migration DR simulation; quarterly testing; CVS-DRTest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Cloud Architect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5. Standard Resource Model &amp; Team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5.1 Key Roles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000"/>
        <w:gridCol w:w="3160"/>
        <w:tblGridChange w:id="0">
          <w:tblGrid>
            <w:gridCol w:w="2000"/>
            <w:gridCol w:w="22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Proposed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Key Qualifications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Programme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Andrew Matthews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PMP, PRINCE2; led 6 FS cloud migrations &gt;$10M. Former Accenture.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Lead Cloud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Priya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SA Professional, Security Specialty; designed LZ for 4 banks.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James O’Brien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CISSP, CISM; former CISO of regional bank; PCI-DSS QSA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Wei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DevOps Pro; led Migration Factory for 3,200-server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FinOps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Rachel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FinOps Certified Practitioner; managed $40M/yr cloud spend optimisation.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David Patel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ServiceNow Certified System Admin + Implementation Specialist; Tokyo/Utah.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2e5090"/>
          <w:sz w:val="26"/>
          <w:szCs w:val="26"/>
          <w:rtl w:val="0"/>
        </w:rPr>
        <w:t xml:space="preserve">5.2 Team Sizing by Phase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200"/>
        <w:gridCol w:w="1200"/>
        <w:gridCol w:w="1200"/>
        <w:gridCol w:w="2060"/>
        <w:tblGridChange w:id="0">
          <w:tblGrid>
            <w:gridCol w:w="2500"/>
            <w:gridCol w:w="1200"/>
            <w:gridCol w:w="1200"/>
            <w:gridCol w:w="1200"/>
            <w:gridCol w:w="12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CVS FTEs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Client FTEs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Key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Discovery &amp;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10–12 wks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 access, app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Migration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6–8 wks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 stakeholders,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Architecture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8–10 wks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 team, network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Migration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14–18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18–28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 owners per 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Hypercare (per wave)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 Ops team shadowing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CCoE Enablement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16–20 wks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CCoE candidates identified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6. Standard Commercial Structure – Cloud Migration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0"/>
        <w:gridCol w:w="1500"/>
        <w:gridCol w:w="1500"/>
        <w:gridCol w:w="1500"/>
        <w:gridCol w:w="1760"/>
        <w:tblGridChange w:id="0">
          <w:tblGrid>
            <w:gridCol w:w="600"/>
            <w:gridCol w:w="2500"/>
            <w:gridCol w:w="1500"/>
            <w:gridCol w:w="1500"/>
            <w:gridCol w:w="15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Payment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Typical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Discovery &amp;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MRA delivery &amp;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$1.2–$1.8M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Includes tooling licences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Migration Planning &amp; Wave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$0.6–$0.9M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Architecture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Architecture review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$0.8–$1.2M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Includes LZ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Migration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Price per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 wave UAT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$4.5–$7.0M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Scales with estate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Post-Migration &amp; Hypercare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Monthly during hypercare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$0.8–$1.2M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Includes CCoE enablement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Managed Cloud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Monthly 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$120–$180K/mo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Separate SOW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terms: All prices in USD. Pricing valid for 90 days. Cloud infrastructure costs are pass-through at list price with no CVS markup. CloudVertex does not receive referral fees or resale margins from cloud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7. Standard Cutover Runbook Template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00"/>
        <w:gridCol w:w="3760"/>
        <w:gridCol w:w="1700"/>
        <w:gridCol w:w="1800"/>
        <w:tblGridChange w:id="0">
          <w:tblGrid>
            <w:gridCol w:w="600"/>
            <w:gridCol w:w="1500"/>
            <w:gridCol w:w="3760"/>
            <w:gridCol w:w="17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Rollback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T-72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Cutover readiness review: confirm all pre-requisites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Wave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Any critical pre-req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T-48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Reduce DNS TTL to 60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Network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T-24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stakeholder notification; confirm on-call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PM + Client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Stakeholder objection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T-4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 target environment smoke tests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Migration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Smoke test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T-2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Go/No-Go decision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 App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No-Go = postpone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Stop source application; initiate final data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Migration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Sync failure &gt; 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T+15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 data integrity (checksum comparison)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Migration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Checksum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T+30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DNS / load balancer to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Network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T+45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 target application; execute post-migration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App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failure &gt; 2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T+2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 App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UAT failure on critical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T+4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Cutover declared successful; enter monitoring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Wave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T+48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Performance benchmarking report; hypercare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CVS Migration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color w:val="888888"/>
          <w:sz w:val="18"/>
          <w:szCs w:val="18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92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91">
    <w:pPr>
      <w:jc w:val="right"/>
      <w:rPr/>
    </w:pPr>
    <w:r w:rsidDel="00000000" w:rsidR="00000000" w:rsidRPr="00000000">
      <w:rPr>
        <w:rFonts w:ascii="Arial" w:cs="Arial" w:eastAsia="Arial" w:hAnsi="Arial"/>
        <w:i w:val="1"/>
        <w:color w:val="888888"/>
        <w:sz w:val="16"/>
        <w:szCs w:val="16"/>
        <w:rtl w:val="0"/>
      </w:rPr>
      <w:t xml:space="preserve">CloudVertex Solutions | Reference Architectures |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