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rFonts w:ascii="Arial" w:cs="Arial" w:eastAsia="Arial" w:hAnsi="Arial"/>
          <w:b w:val="1"/>
          <w:color w:val="1f3864"/>
          <w:sz w:val="40"/>
          <w:szCs w:val="40"/>
          <w:rtl w:val="0"/>
        </w:rPr>
        <w:t xml:space="preserve">CLOUDVERTEX SOLUTIONS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color w:val="cc0000"/>
          <w:sz w:val="24"/>
          <w:szCs w:val="24"/>
          <w:rtl w:val="0"/>
        </w:rPr>
        <w:t xml:space="preserve">INTERNAL – DO NOT SHARE WITH CLIENTS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sz w:val="24"/>
          <w:szCs w:val="24"/>
          <w:rtl w:val="0"/>
        </w:rPr>
        <w:t xml:space="preserve">Bid Strategy Playbook &amp; Proposal Writing Standards</w:t>
      </w: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rFonts w:ascii="Arial" w:cs="Arial" w:eastAsia="Arial" w:hAnsi="Arial"/>
          <w:color w:val="666666"/>
          <w:sz w:val="18"/>
          <w:szCs w:val="18"/>
          <w:rtl w:val="0"/>
        </w:rPr>
        <w:t xml:space="preserve">Version 2.4 | Updated: March 2025</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1. CloudVertex Win Themes</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sz w:val="20"/>
          <w:szCs w:val="20"/>
          <w:rtl w:val="0"/>
        </w:rPr>
        <w:t xml:space="preserve">These are our three core differentiators that should be reinforced in every bid response we submit.</w:t>
      </w:r>
      <w:r w:rsidDel="00000000" w:rsidR="00000000" w:rsidRPr="00000000">
        <w:rPr>
          <w:rtl w:val="0"/>
        </w:rPr>
      </w:r>
    </w:p>
    <w:p w:rsidR="00000000" w:rsidDel="00000000" w:rsidP="00000000" w:rsidRDefault="00000000" w:rsidRPr="00000000" w14:paraId="00000008">
      <w:pPr>
        <w:pStyle w:val="Heading3"/>
        <w:spacing w:after="100" w:before="200" w:lineRule="auto"/>
        <w:rPr/>
      </w:pPr>
      <w:r w:rsidDel="00000000" w:rsidR="00000000" w:rsidRPr="00000000">
        <w:rPr>
          <w:rFonts w:ascii="Arial" w:cs="Arial" w:eastAsia="Arial" w:hAnsi="Arial"/>
          <w:b w:val="1"/>
          <w:sz w:val="22"/>
          <w:szCs w:val="22"/>
          <w:rtl w:val="0"/>
        </w:rPr>
        <w:t xml:space="preserve">Win Theme 1: Financial Services Depth</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sz w:val="20"/>
          <w:szCs w:val="20"/>
          <w:rtl w:val="0"/>
        </w:rPr>
        <w:t xml:space="preserve">62% of our revenue comes from financial services. We are not a generalist cloud partner learning FS on the client’s dime. Every proposal response should reference at least one comparable FS engagement with specific metrics. Use phrases like “in our experience with comparable financial services clients” rather than “typically.”</w:t>
      </w:r>
      <w:r w:rsidDel="00000000" w:rsidR="00000000" w:rsidRPr="00000000">
        <w:rPr>
          <w:rtl w:val="0"/>
        </w:rPr>
      </w:r>
    </w:p>
    <w:p w:rsidR="00000000" w:rsidDel="00000000" w:rsidP="00000000" w:rsidRDefault="00000000" w:rsidRPr="00000000" w14:paraId="0000000A">
      <w:pPr>
        <w:pStyle w:val="Heading3"/>
        <w:spacing w:after="100" w:before="200" w:lineRule="auto"/>
        <w:rPr/>
      </w:pPr>
      <w:r w:rsidDel="00000000" w:rsidR="00000000" w:rsidRPr="00000000">
        <w:rPr>
          <w:rFonts w:ascii="Arial" w:cs="Arial" w:eastAsia="Arial" w:hAnsi="Arial"/>
          <w:b w:val="1"/>
          <w:sz w:val="22"/>
          <w:szCs w:val="22"/>
          <w:rtl w:val="0"/>
        </w:rPr>
        <w:t xml:space="preserve">Win Theme 2: Proprietary Tooling</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Arial" w:cs="Arial" w:eastAsia="Arial" w:hAnsi="Arial"/>
          <w:sz w:val="20"/>
          <w:szCs w:val="20"/>
          <w:rtl w:val="0"/>
        </w:rPr>
        <w:t xml:space="preserve">Our tooling suite (CVS-DiscoverX, CVS-WavePlanner, CVS-LandingZone-FS, CVS-MigrationTracker, CVS-RightSizer, CVS-DRTest, CVS-SNOW-AWS, CVS-AuditCollector) provides measurable acceleration. These are battle-tested across 340+ migrations. Every methodology response should name the specific tool that supports it – never describe a process without naming the tool.</w:t>
      </w:r>
      <w:r w:rsidDel="00000000" w:rsidR="00000000" w:rsidRPr="00000000">
        <w:rPr>
          <w:rtl w:val="0"/>
        </w:rPr>
      </w:r>
    </w:p>
    <w:p w:rsidR="00000000" w:rsidDel="00000000" w:rsidP="00000000" w:rsidRDefault="00000000" w:rsidRPr="00000000" w14:paraId="0000000C">
      <w:pPr>
        <w:pStyle w:val="Heading3"/>
        <w:spacing w:after="100" w:before="200" w:lineRule="auto"/>
        <w:rPr/>
      </w:pPr>
      <w:r w:rsidDel="00000000" w:rsidR="00000000" w:rsidRPr="00000000">
        <w:rPr>
          <w:rFonts w:ascii="Arial" w:cs="Arial" w:eastAsia="Arial" w:hAnsi="Arial"/>
          <w:b w:val="1"/>
          <w:sz w:val="22"/>
          <w:szCs w:val="22"/>
          <w:rtl w:val="0"/>
        </w:rPr>
        <w:t xml:space="preserve">Win Theme 3: Capability Transfer, Not Dependency</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Arial" w:cs="Arial" w:eastAsia="Arial" w:hAnsi="Arial"/>
          <w:sz w:val="20"/>
          <w:szCs w:val="20"/>
          <w:rtl w:val="0"/>
        </w:rPr>
        <w:t xml:space="preserve">Many competitors maximise managed services revenue by creating dependency. We differentiate by emphasising knowledge transfer and CCoE enablement as a core deliverable. Our Learn-Shadow-Lead model is proven. We want clients to be self-sufficient – and then choose us for managed services because we’re the best, not because they have no choice.</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2. Proposal Writing Standards</w:t>
      </w:r>
      <w:r w:rsidDel="00000000" w:rsidR="00000000" w:rsidRPr="00000000">
        <w:rPr>
          <w:rtl w:val="0"/>
        </w:rPr>
      </w:r>
    </w:p>
    <w:p w:rsidR="00000000" w:rsidDel="00000000" w:rsidP="00000000" w:rsidRDefault="00000000" w:rsidRPr="00000000" w14:paraId="00000010">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2.1 Tone &amp; Voice</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0"/>
          <w:szCs w:val="20"/>
          <w:rtl w:val="0"/>
        </w:rPr>
        <w:t xml:space="preserve">Authoritative but not arrogant. We are experts, but we listen. Use “we recommend” not “you should.” Avoid jargon for jargon’s sake. If the evaluator is a CTO, they know what a VPC is. If they’re procurement, explain briefly.</w:t>
      </w:r>
      <w:r w:rsidDel="00000000" w:rsidR="00000000" w:rsidRPr="00000000">
        <w:rPr>
          <w:rtl w:val="0"/>
        </w:rPr>
      </w:r>
    </w:p>
    <w:p w:rsidR="00000000" w:rsidDel="00000000" w:rsidP="00000000" w:rsidRDefault="00000000" w:rsidRPr="00000000" w14:paraId="00000012">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2.2 Response Structure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0"/>
          <w:szCs w:val="20"/>
          <w:rtl w:val="0"/>
        </w:rPr>
        <w:t xml:space="preserve">Every vendor response question should follow this structure: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Opening Statement (2–3 sentences): Directly answer the question. No preamble.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Detail (3–5 paragraphs): Expand with methodology and tooling. Name specific CVS tools.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Evidence (1–2 paragraphs): Reference a comparable engagement with specific metrics.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Application (1 paragraph): Show you’ve read the RFP and tailored the approach to this specific client.</w:t>
      </w:r>
    </w:p>
    <w:p w:rsidR="00000000" w:rsidDel="00000000" w:rsidP="00000000" w:rsidRDefault="00000000" w:rsidRPr="00000000" w14:paraId="00000018">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2.3 Language Rules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Always say “CloudVertex” or “CVS”, never “we” in section headings.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the client by their name, never “the client” or “you.”</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specific numbers: “340+ enterprise migrations” not “many migrations.”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tools by product name: “using CVS-DiscoverX” not “using our proprietary tool.”</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people: “Priya Sharma, our proposed Lead Cloud Architect” not “our lead architect.”</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active voice. Avoid weak qualifiers like “possibly,” “might,” “could.”</w:t>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2.4 Formatting Rules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Maximum 500 words per vendor response question.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tables for structured data – evaluators scan tables faster than prose.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Bold key terms and tool names on first reference.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Cross-reference other proposal sections to avoid repetition.</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3. Industry Terminology Quick Reference</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sz w:val="20"/>
          <w:szCs w:val="20"/>
          <w:rtl w:val="0"/>
        </w:rPr>
        <w:t xml:space="preserve">When responding to RFPs, always mirror the client’s exact terminology rather than substituting our internal jargon. Below are common terms found in financial services RFPs and what they typically mean.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1"/>
                <w:color w:val="ffffff"/>
                <w:sz w:val="18"/>
                <w:szCs w:val="18"/>
                <w:rtl w:val="0"/>
              </w:rPr>
              <w:t xml:space="preserve">Client Term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1"/>
                <w:color w:val="ffffff"/>
                <w:sz w:val="18"/>
                <w:szCs w:val="18"/>
                <w:rtl w:val="0"/>
              </w:rPr>
              <w:t xml:space="preserve">CVS Internal Equivalent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1"/>
                <w:color w:val="ffffff"/>
                <w:sz w:val="18"/>
                <w:szCs w:val="18"/>
                <w:rtl w:val="0"/>
              </w:rPr>
              <w:t xml:space="preserve">Guidance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sz w:val="18"/>
                <w:szCs w:val="18"/>
                <w:rtl w:val="0"/>
              </w:rPr>
              <w:t xml:space="preserve">Programme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sz w:val="18"/>
                <w:szCs w:val="18"/>
                <w:rtl w:val="0"/>
              </w:rPr>
              <w:t xml:space="preserve">Project / Engagement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sz w:val="18"/>
                <w:szCs w:val="18"/>
                <w:rtl w:val="0"/>
              </w:rPr>
              <w:t xml:space="preserve">Many FS clients use British spelling. Mirror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sz w:val="18"/>
                <w:szCs w:val="18"/>
                <w:rtl w:val="0"/>
              </w:rPr>
              <w:t xml:space="preserve">Cloud Centre of Excellence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sz w:val="18"/>
                <w:szCs w:val="18"/>
                <w:rtl w:val="0"/>
              </w:rPr>
              <w:t xml:space="preserve">Cloud Governance Practice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sz w:val="18"/>
                <w:szCs w:val="18"/>
                <w:rtl w:val="0"/>
              </w:rPr>
              <w:t xml:space="preserve">Use whatever acronym the client uses (CCoE, CCOE, etc.)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sz w:val="18"/>
                <w:szCs w:val="18"/>
                <w:rtl w:val="0"/>
              </w:rPr>
              <w:t xml:space="preserve">Migration Readiness 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sz w:val="18"/>
                <w:szCs w:val="18"/>
                <w:rtl w:val="0"/>
              </w:rPr>
              <w:t xml:space="preserve">Discovery 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sz w:val="18"/>
                <w:szCs w:val="18"/>
                <w:rtl w:val="0"/>
              </w:rPr>
              <w:t xml:space="preserve">If the RFP says MRA, use MRA.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sz w:val="18"/>
                <w:szCs w:val="18"/>
                <w:rtl w:val="0"/>
              </w:rPr>
              <w:t xml:space="preserve">6-R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sz w:val="18"/>
                <w:szCs w:val="18"/>
                <w:rtl w:val="0"/>
              </w:rPr>
              <w:t xml:space="preserve">Migration Strategy Classification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sz w:val="18"/>
                <w:szCs w:val="18"/>
                <w:rtl w:val="0"/>
              </w:rPr>
              <w:t xml:space="preserve">Don’t use 7-R or alternative naming.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sz w:val="18"/>
                <w:szCs w:val="18"/>
                <w:rtl w:val="0"/>
              </w:rPr>
              <w:t xml:space="preserve">Landing Zone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sz w:val="18"/>
                <w:szCs w:val="18"/>
                <w:rtl w:val="0"/>
              </w:rPr>
              <w:t xml:space="preserve">Cloud Foundation / 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sz w:val="18"/>
                <w:szCs w:val="18"/>
                <w:rtl w:val="0"/>
              </w:rPr>
              <w:t xml:space="preserve">Landing Zone is the standard industry term now.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sz w:val="18"/>
                <w:szCs w:val="18"/>
                <w:rtl w:val="0"/>
              </w:rPr>
              <w:t xml:space="preserve">Hypercare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sz w:val="18"/>
                <w:szCs w:val="18"/>
                <w:rtl w:val="0"/>
              </w:rPr>
              <w:t xml:space="preserve">Post-Go-Live Support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6fa"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sz w:val="18"/>
                <w:szCs w:val="18"/>
                <w:rtl w:val="0"/>
              </w:rPr>
              <w:t xml:space="preserve">Common in FS – always use the client’s term.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sz w:val="18"/>
                <w:szCs w:val="18"/>
                <w:rtl w:val="0"/>
              </w:rPr>
              <w:t xml:space="preserve">Wave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0"/>
                <w:sz w:val="18"/>
                <w:szCs w:val="18"/>
                <w:rtl w:val="0"/>
              </w:rPr>
              <w:t xml:space="preserve">Migration Batch / Sprint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0"/>
                <w:sz w:val="18"/>
                <w:szCs w:val="18"/>
                <w:rtl w:val="0"/>
              </w:rPr>
              <w:t xml:space="preserve">Wave is the dominant term in FS migration RFPs.</w:t>
            </w: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160" w:before="300" w:lineRule="auto"/>
        <w:rPr/>
      </w:pPr>
      <w:r w:rsidDel="00000000" w:rsidR="00000000" w:rsidRPr="00000000">
        <w:rPr>
          <w:rFonts w:ascii="Arial" w:cs="Arial" w:eastAsia="Arial" w:hAnsi="Arial"/>
          <w:b w:val="1"/>
          <w:color w:val="1f3864"/>
          <w:sz w:val="32"/>
          <w:szCs w:val="32"/>
          <w:rtl w:val="0"/>
        </w:rPr>
        <w:t xml:space="preserve">4. Lessons Learned from Past Bids</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Arial" w:cs="Arial" w:eastAsia="Arial" w:hAnsi="Arial"/>
          <w:sz w:val="20"/>
          <w:szCs w:val="20"/>
          <w:rtl w:val="0"/>
        </w:rPr>
        <w:t xml:space="preserve">Insights from CVS’s last 12 financial services bid submissions (8 wins, 4 losses).</w:t>
      </w:r>
      <w:r w:rsidDel="00000000" w:rsidR="00000000" w:rsidRPr="00000000">
        <w:rPr>
          <w:rtl w:val="0"/>
        </w:rPr>
      </w:r>
    </w:p>
    <w:p w:rsidR="00000000" w:rsidDel="00000000" w:rsidP="00000000" w:rsidRDefault="00000000" w:rsidRPr="00000000" w14:paraId="00000042">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4.1 What Wins Bids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1"/>
                <w:color w:val="ffffff"/>
                <w:sz w:val="18"/>
                <w:szCs w:val="18"/>
                <w:rtl w:val="0"/>
              </w:rPr>
              <w:t xml:space="preserve">Success Factor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1"/>
                <w:color w:val="ffffff"/>
                <w:sz w:val="18"/>
                <w:szCs w:val="18"/>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0"/>
                <w:sz w:val="18"/>
                <w:szCs w:val="18"/>
                <w:rtl w:val="0"/>
              </w:rPr>
              <w:t xml:space="preserve">Specificity over generality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0"/>
                <w:sz w:val="18"/>
                <w:szCs w:val="18"/>
                <w:rtl w:val="0"/>
              </w:rPr>
              <w:t xml:space="preserve">Name tools, name people, cite metrics. Specific numbers always beat vague claims.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0"/>
                <w:sz w:val="18"/>
                <w:szCs w:val="18"/>
                <w:rtl w:val="0"/>
              </w:rPr>
              <w:t xml:space="preserve">Direct answers first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sz w:val="18"/>
                <w:szCs w:val="18"/>
                <w:rtl w:val="0"/>
              </w:rPr>
              <w:t xml:space="preserve">Start every response by answering the question in the first sentence. Evaluators score many vendors – they skim.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0"/>
                <w:sz w:val="18"/>
                <w:szCs w:val="18"/>
                <w:rtl w:val="0"/>
              </w:rPr>
              <w:t xml:space="preserve">Tailored, not template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0"/>
                <w:sz w:val="18"/>
                <w:szCs w:val="18"/>
                <w:rtl w:val="0"/>
              </w:rPr>
              <w:t xml:space="preserve">Reference the client’s specific details from their RFP. Every evaluator can spot a recycled proposal.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0"/>
                <w:sz w:val="18"/>
                <w:szCs w:val="18"/>
                <w:rtl w:val="0"/>
              </w:rPr>
              <w:t xml:space="preserve">Risk acknowledgment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0"/>
                <w:sz w:val="18"/>
                <w:szCs w:val="18"/>
                <w:rtl w:val="0"/>
              </w:rPr>
              <w:t xml:space="preserve">Proactively identify risks. Evaluators trust vendors who show awareness of what can go wrong.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5e9"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0"/>
                <w:sz w:val="18"/>
                <w:szCs w:val="18"/>
                <w:rtl w:val="0"/>
              </w:rPr>
              <w:t xml:space="preserve">Commercial transparency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f5e9"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sz w:val="18"/>
                <w:szCs w:val="18"/>
                <w:rtl w:val="0"/>
              </w:rPr>
              <w:t xml:space="preserve">Disclose referral fees (or state you don’t take them). Transparency builds trust.</w:t>
            </w:r>
            <w:r w:rsidDel="00000000" w:rsidR="00000000" w:rsidRPr="00000000">
              <w:rPr>
                <w:rtl w:val="0"/>
              </w:rPr>
            </w:r>
          </w:p>
        </w:tc>
      </w:tr>
    </w:tbl>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color w:val="2e5090"/>
          <w:sz w:val="26"/>
          <w:szCs w:val="26"/>
          <w:rtl w:val="0"/>
        </w:rPr>
        <w:t xml:space="preserve">4.2 What Loses Bids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1"/>
                <w:color w:val="ffffff"/>
                <w:sz w:val="18"/>
                <w:szCs w:val="18"/>
                <w:rtl w:val="0"/>
              </w:rPr>
              <w:t xml:space="preserve">Failure Pattern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1"/>
                <w:color w:val="ffffff"/>
                <w:sz w:val="18"/>
                <w:szCs w:val="18"/>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0"/>
                <w:sz w:val="18"/>
                <w:szCs w:val="18"/>
                <w:rtl w:val="0"/>
              </w:rPr>
              <w:t xml:space="preserve">Generic methodology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b w:val="0"/>
                <w:sz w:val="18"/>
                <w:szCs w:val="18"/>
                <w:rtl w:val="0"/>
              </w:rPr>
              <w:t xml:space="preserve">Never describe a methodology without naming the specific tool that implements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0"/>
                <w:sz w:val="18"/>
                <w:szCs w:val="18"/>
                <w:rtl w:val="0"/>
              </w:rPr>
              <w:t xml:space="preserve">Weak compliance responses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b w:val="0"/>
                <w:sz w:val="18"/>
                <w:szCs w:val="18"/>
                <w:rtl w:val="0"/>
              </w:rPr>
              <w:t xml:space="preserve">In 3 of our 4 losses, compliance sections were flagged as weak. PCI-DSS, SEC, FINRA are never optional in FS.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b w:val="0"/>
                <w:sz w:val="18"/>
                <w:szCs w:val="18"/>
                <w:rtl w:val="0"/>
              </w:rPr>
              <w:t xml:space="preserve">Over-promising timeline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0"/>
                <w:sz w:val="18"/>
                <w:szCs w:val="18"/>
                <w:rtl w:val="0"/>
              </w:rPr>
              <w:t xml:space="preserve">Match the client’s timeline. Promising faster looks reckless, not impressive.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0"/>
                <w:sz w:val="18"/>
                <w:szCs w:val="18"/>
                <w:rtl w:val="0"/>
              </w:rPr>
              <w:t xml:space="preserve">Vague references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e1"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0"/>
                <w:sz w:val="18"/>
                <w:szCs w:val="18"/>
                <w:rtl w:val="0"/>
              </w:rPr>
              <w:t xml:space="preserve">References must be in financial services, &gt;$5M, with measurable outcomes. “We migrated a bank” is useless.</w:t>
            </w:r>
            <w:r w:rsidDel="00000000" w:rsidR="00000000" w:rsidRPr="00000000">
              <w:rPr>
                <w:rtl w:val="0"/>
              </w:rPr>
            </w:r>
          </w:p>
        </w:tc>
      </w:tr>
    </w:tbl>
    <w:p w:rsidR="00000000" w:rsidDel="00000000" w:rsidP="00000000" w:rsidRDefault="00000000" w:rsidRPr="00000000" w14:paraId="0000005A">
      <w:pPr>
        <w:spacing w:before="400" w:lineRule="auto"/>
        <w:jc w:val="center"/>
        <w:rPr/>
      </w:pPr>
      <w:r w:rsidDel="00000000" w:rsidR="00000000" w:rsidRPr="00000000">
        <w:rPr>
          <w:rFonts w:ascii="Arial" w:cs="Arial" w:eastAsia="Arial" w:hAnsi="Arial"/>
          <w:i w:val="1"/>
          <w:color w:val="888888"/>
          <w:sz w:val="18"/>
          <w:szCs w:val="18"/>
          <w:rtl w:val="0"/>
        </w:rPr>
        <w:t xml:space="preserve">— End of Document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C">
    <w:pPr>
      <w:jc w:val="center"/>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B">
    <w:pPr>
      <w:jc w:val="right"/>
      <w:rPr/>
    </w:pPr>
    <w:r w:rsidDel="00000000" w:rsidR="00000000" w:rsidRPr="00000000">
      <w:rPr>
        <w:rFonts w:ascii="Arial" w:cs="Arial" w:eastAsia="Arial" w:hAnsi="Arial"/>
        <w:i w:val="1"/>
        <w:color w:val="cc0000"/>
        <w:sz w:val="16"/>
        <w:szCs w:val="16"/>
        <w:rtl w:val="0"/>
      </w:rPr>
      <w:t xml:space="preserve">CloudVertex Solutions | Bid Playbook | INTERNAL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i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i w:val="0"/>
      <w:smallCaps w:val="0"/>
      <w:strike w:val="0"/>
      <w:color w:val="2e509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