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cs="Latha"/>
        </w:rPr>
        <w:t xml:space="preserve">அறிமுகம்</w:t>
      </w:r>
    </w:p>
    <w:p>
      <w:r>
        <w:rPr>
          <w:rFonts w:cs="Latha"/>
        </w:rPr>
        <w:t xml:space="preserve">தமிழ்நாடு அரசு கல்வித் துறை அறிவிப்பு: நூலகத்திற்கு பன்னிரண்டு லட்சம் ரூபாய்.</w:t>
      </w:r>
    </w:p>
    <w:p>
      <w:pPr>
        <w:pStyle w:val="Heading1"/>
      </w:pPr>
      <w:r>
        <w:t xml:space="preserve">Budget</w:t>
      </w:r>
    </w:p>
    <w:p>
      <w:r>
        <w:t xml:space="preserve">Rupees twelve lakh for the library.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2026-10-15T17:59:33.301Z</dcterms:created>
  <dcterms:modified xsi:type="dcterms:W3CDTF">2026-10-15T17:59:33.301Z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