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383D" w14:textId="168D0DC7" w:rsidR="00C36B3D" w:rsidRPr="00C36B3D" w:rsidRDefault="00C36B3D" w:rsidP="00C36B3D">
      <w:pPr>
        <w:pStyle w:val="Heading2"/>
        <w:rPr>
          <w:b w:val="0"/>
          <w:bCs w:val="0"/>
          <w:sz w:val="24"/>
          <w:szCs w:val="24"/>
        </w:rPr>
      </w:pPr>
      <w:r w:rsidRPr="0082561A">
        <w:rPr>
          <w:sz w:val="24"/>
          <w:szCs w:val="24"/>
          <w:u w:val="single"/>
        </w:rPr>
        <w:t>Results</w:t>
      </w:r>
      <w:r w:rsidRPr="00C36B3D">
        <w:rPr>
          <w:b w:val="0"/>
          <w:bCs w:val="0"/>
          <w:sz w:val="24"/>
          <w:szCs w:val="24"/>
        </w:rPr>
        <w:t xml:space="preserve"> (</w:t>
      </w:r>
      <w:r w:rsidR="00944619">
        <w:rPr>
          <w:b w:val="0"/>
          <w:bCs w:val="0"/>
          <w:sz w:val="24"/>
          <w:szCs w:val="24"/>
        </w:rPr>
        <w:t>1343 words without figures/tables + their descriptions</w:t>
      </w:r>
      <w:r w:rsidRPr="00C36B3D">
        <w:rPr>
          <w:b w:val="0"/>
          <w:bCs w:val="0"/>
          <w:sz w:val="24"/>
          <w:szCs w:val="24"/>
        </w:rPr>
        <w:t>)</w:t>
      </w:r>
    </w:p>
    <w:p w14:paraId="1BDB5FAB" w14:textId="31DEAD72"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w:t>
      </w:r>
      <w:r w:rsidR="00F63AA1" w:rsidRPr="00C36B3D">
        <w:rPr>
          <w:rFonts w:ascii="Times New Roman" w:eastAsia="Times New Roman" w:hAnsi="Times New Roman" w:cs="Times New Roman"/>
          <w:color w:val="000000"/>
          <w:sz w:val="24"/>
          <w:szCs w:val="24"/>
          <w:lang w:eastAsia="en-GB"/>
        </w:rPr>
        <w:t>pre-processing</w:t>
      </w:r>
      <w:r w:rsidRPr="00C36B3D">
        <w:rPr>
          <w:rFonts w:ascii="Times New Roman" w:eastAsia="Times New Roman" w:hAnsi="Times New Roman" w:cs="Times New Roman"/>
          <w:color w:val="000000"/>
          <w:sz w:val="24"/>
          <w:szCs w:val="24"/>
          <w:lang w:eastAsia="en-GB"/>
        </w:rPr>
        <w:t xml:space="preserve">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49F1DEFD"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phyloseq object containing 362 taxa. </w:t>
      </w:r>
    </w:p>
    <w:p w14:paraId="5F046EC5"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p>
    <w:p w14:paraId="481A53C2"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A1A49F0" w14:textId="04EC71C3"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PCoA. This PCoA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0.932). Nevertheless, there did exist a large variation in the absolute microbial abundances and absolute phyla abundances across both the IR and IS samples (Figure 3).</w:t>
      </w:r>
    </w:p>
    <w:p w14:paraId="4D93422C" w14:textId="724900B4" w:rsidR="00C36B3D" w:rsidRPr="00C36B3D" w:rsidRDefault="00C36B3D" w:rsidP="00A15B47">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C5E08FF" wp14:editId="6A70AB9B">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47095C01" w14:textId="7F7456E3" w:rsidR="00C36B3D"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(PCoA) based on Bray-Curtis dissimilarity illustrating the separation in the microbial composition of the insulin resistant (IR) and insulin sensitive (IS) samples. Variation explained by the corresponding principal coordinates are given in %. </w:t>
      </w:r>
    </w:p>
    <w:p w14:paraId="2D362CCA" w14:textId="77777777" w:rsidR="00A15B47" w:rsidRPr="00C36B3D" w:rsidRDefault="00A15B47" w:rsidP="00A15B47">
      <w:pPr>
        <w:spacing w:line="240" w:lineRule="auto"/>
        <w:rPr>
          <w:rFonts w:ascii="Times New Roman" w:eastAsia="Times New Roman" w:hAnsi="Times New Roman" w:cs="Times New Roman"/>
          <w:sz w:val="24"/>
          <w:szCs w:val="24"/>
          <w:lang w:eastAsia="en-GB"/>
        </w:rPr>
      </w:pPr>
    </w:p>
    <w:p w14:paraId="4D1B6AA1" w14:textId="098E65F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7139CAC" wp14:editId="01252879">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2FD67B48" w14:textId="77777777"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524435F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DD8645C"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Actinobacteria (Figure 4.A) and Firmicutes (Figure 4.C) both being slightly more abundant and the Proteobacteria (Figure 4.D) slightly less abundant in the IR condition. However, only the differences in the Firmicutes and Proteobacteria phyla were significant (p = 0.009 and p &lt; 0.0001, respectively). </w:t>
      </w:r>
    </w:p>
    <w:p w14:paraId="09BB1615" w14:textId="3AF8DF30"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More notable differences were seen for the remaining phyla. The Bacteroidetes were less abundant in the IR samples compared to the IS samples (Figure 4.B) while the Verrucomicrobia were more abundant in the IR samples (Figure 4.E). However, only the difference in Bacteroidetes was significant (p &lt; 0.0001).</w:t>
      </w:r>
    </w:p>
    <w:p w14:paraId="694AEA49" w14:textId="622E583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3D370312" wp14:editId="709A1541">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C42EB4F" w14:textId="084303EF"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60885237" w14:textId="0D61431F" w:rsidR="00C36B3D" w:rsidRPr="00C36B3D" w:rsidRDefault="00C36B3D" w:rsidP="007D052A">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identified in order to try recognise the microbes contributing the most to the metagenomic differences between the 2 groups. The majority (70%) of these microbes belonged to the Firmicutes phylum. 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w:t>
      </w:r>
      <w:r w:rsidRPr="00C36B3D">
        <w:rPr>
          <w:rFonts w:ascii="Times New Roman" w:eastAsia="Times New Roman" w:hAnsi="Times New Roman" w:cs="Times New Roman"/>
          <w:color w:val="000000"/>
          <w:sz w:val="24"/>
          <w:szCs w:val="24"/>
          <w:lang w:eastAsia="en-GB"/>
        </w:rPr>
        <w:lastRenderedPageBreak/>
        <w:t>abundant in IR were Ruminoccocus. On the other hand, 2 out of the 10 microbes less abundant in IR and none of those more abundant in IR were Lachnospira. (Figure 5)</w:t>
      </w:r>
    </w:p>
    <w:p w14:paraId="68C6F885" w14:textId="15F2F740"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1E463CB" wp14:editId="544C80B8">
            <wp:extent cx="57315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3438FF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09B939A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21E4A224"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B2D11F3" w14:textId="629152F4"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limma, 23 proteins were deemed to be significantly altered in the IR condition compared to the IS condition based on p-value. 13 of these proteins were more abundant in the IR subjects (logFC &gt; 0) and 10, less abundant (logFC &lt; 0) </w:t>
      </w:r>
      <w:r w:rsidRPr="00C36B3D">
        <w:rPr>
          <w:rFonts w:ascii="Times New Roman" w:eastAsia="Times New Roman" w:hAnsi="Times New Roman" w:cs="Times New Roman"/>
          <w:color w:val="000000"/>
          <w:sz w:val="24"/>
          <w:szCs w:val="24"/>
          <w:shd w:val="clear" w:color="auto" w:fill="FFFF00"/>
          <w:lang w:eastAsia="en-GB"/>
        </w:rPr>
        <w:t>(Appendix A4)</w:t>
      </w:r>
      <w:r w:rsidRPr="00C36B3D">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9D7E3F">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 possessed a significant adjusted p-value.</w:t>
      </w:r>
    </w:p>
    <w:p w14:paraId="5663248E" w14:textId="0486A140" w:rsidR="00C36B3D" w:rsidRPr="00C36B3D" w:rsidRDefault="00C36B3D" w:rsidP="008617F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On the other hand, the DA using MetaboDiff generated 40 metabolites whose abundances were significantly altered (p &lt; 0.05) in the IR group compared to the IS group: 21 were less abundant (logFC &lt; 0) and 19 more abundant in the IR condition (logFC &gt; 0) </w:t>
      </w:r>
      <w:r w:rsidRPr="00C36B3D">
        <w:rPr>
          <w:rFonts w:ascii="Times New Roman" w:eastAsia="Times New Roman" w:hAnsi="Times New Roman" w:cs="Times New Roman"/>
          <w:color w:val="000000"/>
          <w:sz w:val="24"/>
          <w:szCs w:val="24"/>
          <w:shd w:val="clear" w:color="auto" w:fill="FFFF00"/>
          <w:lang w:eastAsia="en-GB"/>
        </w:rPr>
        <w:t>(Appendix A5)</w:t>
      </w:r>
      <w:r w:rsidRPr="00C36B3D">
        <w:rPr>
          <w:rFonts w:ascii="Times New Roman" w:eastAsia="Times New Roman" w:hAnsi="Times New Roman" w:cs="Times New Roman"/>
          <w:color w:val="000000"/>
          <w:sz w:val="24"/>
          <w:szCs w:val="24"/>
          <w:lang w:eastAsia="en-GB"/>
        </w:rPr>
        <w:t xml:space="preserve">. Based on a logFC &gt; 0.05 or &lt; -0.05, 9 out of the 21 less abundant metabolites and 3 out of the </w:t>
      </w:r>
      <w:r w:rsidRPr="00C36B3D">
        <w:rPr>
          <w:rFonts w:ascii="Times New Roman" w:eastAsia="Times New Roman" w:hAnsi="Times New Roman" w:cs="Times New Roman"/>
          <w:color w:val="000000"/>
          <w:sz w:val="24"/>
          <w:szCs w:val="24"/>
          <w:lang w:eastAsia="en-GB"/>
        </w:rPr>
        <w:lastRenderedPageBreak/>
        <w:t>19 more abundant metabolites were sufficiently changed (Table 1). Unlike the results of the proteomic DA, 7 metabolites possessed a significant adjusted p-value with 5 also having a logFC suggesting a sufficient change in abundance (Table 1). The remaining 2 metabolites with a logFC &gt; 0.05 or &lt; -0.05 were HMDB02759 (logFC = -0.327) and HMDB00705 (logFC = 0.212). </w:t>
      </w:r>
    </w:p>
    <w:p w14:paraId="347E2D55" w14:textId="56E304AB"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(logFC &lt; -0.50, blue cells) and sufficiently more abundant (logFC &gt; 0.05, red cells) metabolites as determined by the differential analysis (DA) using MetaboDiff. The logFC and adjusted p-value are given for each metabolite. All metabolites listed were significantly changed in the IR condition compared to the IS condition based on p value (p &lt; 0.05).</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48119C" w:rsidRPr="00C36B3D" w14:paraId="1321EBD6" w14:textId="77777777" w:rsidTr="00A15B47">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63C" w14:textId="173079FD" w:rsidR="00C36B3D" w:rsidRPr="004E3943"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4E3943">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4C44"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98D5"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48119C" w:rsidRPr="00C36B3D" w14:paraId="4B2C1F08" w14:textId="77777777" w:rsidTr="00A15B47">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BAA3EA8" w14:textId="4444C537" w:rsidR="00465CCB"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LysoPE(0:0/22:6(4Z,7Z,10Z,13Z,16Z,19Z))</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sz w:val="24"/>
                <w:szCs w:val="24"/>
                <w:lang w:eastAsia="en-GB"/>
              </w:rPr>
              <w:t>(</w:t>
            </w:r>
            <w:r w:rsidR="00465CCB" w:rsidRPr="00C36B3D">
              <w:rPr>
                <w:rFonts w:ascii="Times New Roman" w:eastAsia="Times New Roman" w:hAnsi="Times New Roman" w:cs="Times New Roman"/>
                <w:color w:val="000000"/>
                <w:sz w:val="24"/>
                <w:szCs w:val="24"/>
                <w:lang w:eastAsia="en-GB"/>
              </w:rPr>
              <w:t>Lysophospholipid</w:t>
            </w:r>
            <w:r w:rsidR="00465CCB">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263CF" w14:textId="230AFE8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2BDF8E" w14:textId="77D3476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0ED26BFA" w14:textId="77777777" w:rsidTr="00A15B47">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DF8B34" w14:textId="119C98EE" w:rsidR="00465CCB" w:rsidRPr="00C36B3D" w:rsidRDefault="00465CC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w:t>
            </w:r>
            <w:r w:rsidR="00C36B3D" w:rsidRPr="00C36B3D">
              <w:rPr>
                <w:rFonts w:ascii="Times New Roman" w:eastAsia="Times New Roman" w:hAnsi="Times New Roman" w:cs="Times New Roman"/>
                <w:color w:val="000000"/>
                <w:sz w:val="24"/>
                <w:szCs w:val="24"/>
                <w:lang w:eastAsia="en-GB"/>
              </w:rPr>
              <w:t>ysoPE(0:0/16:0)</w:t>
            </w:r>
            <w:r w:rsidR="00A15B4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EC33FD" w14:textId="58502F8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sidR="00F63AA1">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93528A" w14:textId="17642701"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sidR="00F63AA1">
              <w:rPr>
                <w:rFonts w:ascii="Times New Roman" w:eastAsia="Times New Roman" w:hAnsi="Times New Roman" w:cs="Times New Roman"/>
                <w:color w:val="000000"/>
                <w:sz w:val="24"/>
                <w:szCs w:val="24"/>
                <w:lang w:eastAsia="en-GB"/>
              </w:rPr>
              <w:t>1</w:t>
            </w:r>
          </w:p>
        </w:tc>
      </w:tr>
      <w:tr w:rsidR="0048119C" w:rsidRPr="00C36B3D" w14:paraId="5874CF28" w14:textId="77777777" w:rsidTr="00A15B47">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4FF13D3" w14:textId="79EE84D8" w:rsidR="00465CCB"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LysoPE(P-16:0/0:0)</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color w:val="000000"/>
                <w:sz w:val="24"/>
                <w:szCs w:val="24"/>
                <w:lang w:eastAsia="en-GB"/>
              </w:rPr>
              <w:t>(</w:t>
            </w:r>
            <w:r w:rsidR="00465CCB" w:rsidRPr="00C36B3D">
              <w:rPr>
                <w:rFonts w:ascii="Times New Roman" w:eastAsia="Times New Roman" w:hAnsi="Times New Roman" w:cs="Times New Roman"/>
                <w:color w:val="000000"/>
                <w:sz w:val="24"/>
                <w:szCs w:val="24"/>
                <w:lang w:eastAsia="en-GB"/>
              </w:rPr>
              <w:t>Phospho-ether lipid</w:t>
            </w:r>
            <w:r w:rsidR="00465CCB">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A85706" w14:textId="38B407EE"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1F6510" w14:textId="2236972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48119C" w:rsidRPr="00C36B3D" w14:paraId="304C906F" w14:textId="77777777" w:rsidTr="00A15B47">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1F6E5DE" w14:textId="438B9FF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DD5C39" w14:textId="537C1C4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27EA18" w14:textId="3E48784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sidR="00EF6FDD">
              <w:rPr>
                <w:rFonts w:ascii="Times New Roman" w:eastAsia="Times New Roman" w:hAnsi="Times New Roman" w:cs="Times New Roman"/>
                <w:color w:val="000000"/>
                <w:sz w:val="24"/>
                <w:szCs w:val="24"/>
                <w:lang w:eastAsia="en-GB"/>
              </w:rPr>
              <w:t>40</w:t>
            </w:r>
          </w:p>
        </w:tc>
      </w:tr>
      <w:tr w:rsidR="0048119C" w:rsidRPr="00C36B3D" w14:paraId="76881A96" w14:textId="77777777" w:rsidTr="00A15B47">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EC837B" w14:textId="2814F5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7CC5D3" w14:textId="40C20B5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sidR="0048119C">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4BDF5B6" w14:textId="7A0CA2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26747CFA" w14:textId="77777777" w:rsidTr="00A15B47">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75259B" w14:textId="4491204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308706" w14:textId="076031B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B8B13E" w14:textId="6ECF6D3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sidR="00807A16">
              <w:rPr>
                <w:rFonts w:ascii="Times New Roman" w:eastAsia="Times New Roman" w:hAnsi="Times New Roman" w:cs="Times New Roman"/>
                <w:color w:val="000000"/>
                <w:sz w:val="24"/>
                <w:szCs w:val="24"/>
                <w:lang w:eastAsia="en-GB"/>
              </w:rPr>
              <w:t>2</w:t>
            </w:r>
          </w:p>
        </w:tc>
      </w:tr>
      <w:tr w:rsidR="0048119C" w:rsidRPr="00C36B3D" w14:paraId="20FB8829" w14:textId="77777777" w:rsidTr="00A15B47">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6C7DA1" w14:textId="6DB649F2" w:rsidR="00EC0EA9"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357550" w:rsidRPr="00357550">
              <w:rPr>
                <w:rFonts w:ascii="Times New Roman" w:eastAsia="Times New Roman" w:hAnsi="Times New Roman" w:cs="Times New Roman"/>
                <w:sz w:val="24"/>
                <w:szCs w:val="24"/>
                <w:shd w:val="clear" w:color="auto" w:fill="D9E2F3" w:themeFill="accent1" w:themeFillTint="33"/>
                <w:lang w:eastAsia="en-GB"/>
              </w:rPr>
              <w:t>M</w:t>
            </w:r>
            <w:r w:rsidR="00357550" w:rsidRPr="00357550">
              <w:rPr>
                <w:rFonts w:ascii="Times New Roman" w:hAnsi="Times New Roman" w:cs="Times New Roman"/>
                <w:sz w:val="24"/>
                <w:szCs w:val="24"/>
                <w:shd w:val="clear" w:color="auto" w:fill="D9E2F3" w:themeFill="accent1" w:themeFillTint="33"/>
              </w:rPr>
              <w:t>onoacylglycerol</w:t>
            </w:r>
            <w:r w:rsidR="00EC0EA9"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1C4D38" w14:textId="6A56DC0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7CB6558" w14:textId="4050B60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48119C" w:rsidRPr="00C36B3D" w14:paraId="6E3C5E53" w14:textId="77777777" w:rsidTr="00A15B47">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C22D0A7" w14:textId="42AC472E" w:rsidR="00EC0EA9"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LysoPE(0:0/20:3(11Z,14Z,17Z))</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AB451F" w14:textId="3AC1762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sidR="0048119C">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87A7C8" w14:textId="107877C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sidR="00807A16">
              <w:rPr>
                <w:rFonts w:ascii="Times New Roman" w:eastAsia="Times New Roman" w:hAnsi="Times New Roman" w:cs="Times New Roman"/>
                <w:color w:val="000000"/>
                <w:sz w:val="24"/>
                <w:szCs w:val="24"/>
                <w:lang w:eastAsia="en-GB"/>
              </w:rPr>
              <w:t>8</w:t>
            </w:r>
          </w:p>
        </w:tc>
      </w:tr>
      <w:tr w:rsidR="0048119C" w:rsidRPr="00C36B3D" w14:paraId="64C3BBE9" w14:textId="77777777" w:rsidTr="00A15B47">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7175279" w14:textId="00DBB803" w:rsidR="00EC0EA9"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C3B6CF" w14:textId="0E9BEF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sidR="0048119C">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3490EA6" w14:textId="1F3CEED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75CA4284" w14:textId="77777777" w:rsidTr="00A15B47">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A959C72" w14:textId="4F6E3A7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9F9D94" w14:textId="6BA1C62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E6CFA47" w14:textId="702F35C5"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6B303B9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AB5663A" w14:textId="2B461C6A" w:rsidR="00EC0EA9"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Fatty acid ester</w:t>
            </w:r>
            <w:r w:rsidR="00EC0EA9">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C1F9025" w14:textId="2AD8C6D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sidR="0048119C">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1E9A373" w14:textId="350A49F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48119C" w:rsidRPr="00C36B3D" w14:paraId="7B1B57F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B8BEC87" w14:textId="5DABCFB7" w:rsidR="00EC0EA9"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LysoPC(20:0/0:0)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FDDED1" w14:textId="1D309E3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sidR="0048119C">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9E7B9" w14:textId="582397D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630B25BA" w14:textId="77777777" w:rsidR="00C36B3D" w:rsidRPr="00C36B3D" w:rsidRDefault="00C36B3D" w:rsidP="00C36B3D">
      <w:pPr>
        <w:spacing w:after="240" w:line="240" w:lineRule="auto"/>
        <w:rPr>
          <w:rFonts w:ascii="Times New Roman" w:eastAsia="Times New Roman" w:hAnsi="Times New Roman" w:cs="Times New Roman"/>
          <w:sz w:val="24"/>
          <w:szCs w:val="24"/>
          <w:lang w:eastAsia="en-GB"/>
        </w:rPr>
      </w:pPr>
    </w:p>
    <w:p w14:paraId="3DB33FFD"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involved these metabolomic and proteomic changes </w:t>
      </w:r>
    </w:p>
    <w:p w14:paraId="20AAAA93"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Combined pathway analysis of the proteome and metabolome data was done using PathVisio and MetaboAnalyst. </w:t>
      </w:r>
    </w:p>
    <w:p w14:paraId="1A34520D" w14:textId="43AA181B"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PathVisio, only 15 metabolites and 25 proteins met the expression criterion (p &lt; 0.05). The overrepresentation analysis of these compounds found 18 pathways to contain significantly more changed compounds than </w:t>
      </w:r>
      <w:r w:rsidRPr="00C36B3D">
        <w:rPr>
          <w:rFonts w:ascii="Times New Roman" w:eastAsia="Times New Roman" w:hAnsi="Times New Roman" w:cs="Times New Roman"/>
          <w:color w:val="000000"/>
          <w:sz w:val="24"/>
          <w:szCs w:val="24"/>
          <w:lang w:eastAsia="en-GB"/>
        </w:rPr>
        <w:lastRenderedPageBreak/>
        <w:t>expected (Z-score &gt; 1.96). All these pathways possessed 1-2 compounds that had significantly different levels in the IR subjects compared to in the IS subjects. The majority of the significantly altered pathways involved metabolites that met the expression criteria but none of these pathways contained both proteins and metabolites with a p &lt; 0.05 (Table 2).</w:t>
      </w:r>
    </w:p>
    <w:p w14:paraId="7B095DBD" w14:textId="27583EAE" w:rsidR="00975DD2" w:rsidRPr="00C36B3D" w:rsidRDefault="00C36B3D" w:rsidP="00A15B47">
      <w:pPr>
        <w:spacing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indicate </w:t>
      </w:r>
      <w:r w:rsidRPr="00C36B3D">
        <w:rPr>
          <w:rFonts w:ascii="Times New Roman" w:eastAsia="Times New Roman" w:hAnsi="Times New Roman" w:cs="Times New Roman"/>
          <w:color w:val="000000"/>
          <w:sz w:val="24"/>
          <w:szCs w:val="24"/>
          <w:lang w:eastAsia="en-GB"/>
        </w:rPr>
        <w:t>the compound being more abundant in insulin resistance (</w:t>
      </w:r>
      <w:r w:rsidRPr="00C36B3D">
        <w:rPr>
          <w:rFonts w:ascii="Times New Roman" w:eastAsia="Times New Roman" w:hAnsi="Times New Roman" w:cs="Times New Roman"/>
          <w:b/>
          <w:bCs/>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or less abundant in insulin resistance (</w:t>
      </w:r>
      <w:r w:rsidRPr="00C36B3D">
        <w:rPr>
          <w:rFonts w:ascii="Times New Roman" w:eastAsia="Times New Roman" w:hAnsi="Times New Roman" w:cs="Times New Roman"/>
          <w:b/>
          <w:bCs/>
          <w:color w:val="000000"/>
          <w:sz w:val="24"/>
          <w:szCs w:val="24"/>
          <w:lang w:eastAsia="en-GB"/>
        </w:rPr>
        <w:t>↓</w:t>
      </w:r>
      <w:r w:rsidRPr="00C36B3D">
        <w:rPr>
          <w:rFonts w:ascii="Times New Roman" w:eastAsia="Times New Roman" w:hAnsi="Times New Roman" w:cs="Times New Roman"/>
          <w:color w:val="000000"/>
          <w:sz w:val="24"/>
          <w:szCs w:val="24"/>
          <w:lang w:eastAsia="en-GB"/>
        </w:rPr>
        <w:t>), in comparison to the insulin sensitive condition. </w:t>
      </w:r>
    </w:p>
    <w:tbl>
      <w:tblPr>
        <w:tblW w:w="9853" w:type="dxa"/>
        <w:tblInd w:w="-427" w:type="dxa"/>
        <w:tblCellMar>
          <w:top w:w="15" w:type="dxa"/>
          <w:left w:w="15" w:type="dxa"/>
          <w:bottom w:w="15" w:type="dxa"/>
          <w:right w:w="15" w:type="dxa"/>
        </w:tblCellMar>
        <w:tblLook w:val="04A0" w:firstRow="1" w:lastRow="0" w:firstColumn="1" w:lastColumn="0" w:noHBand="0" w:noVBand="1"/>
      </w:tblPr>
      <w:tblGrid>
        <w:gridCol w:w="5946"/>
        <w:gridCol w:w="1047"/>
        <w:gridCol w:w="2860"/>
      </w:tblGrid>
      <w:tr w:rsidR="00C36B3D" w:rsidRPr="00C36B3D" w14:paraId="45876E2E" w14:textId="77777777" w:rsidTr="00A15B47">
        <w:trPr>
          <w:trHeight w:val="54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994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A8FB"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98F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C36B3D" w:rsidRPr="00C36B3D" w14:paraId="78C71A6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B49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36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D28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4494D9B1"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B2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3AB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B16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Pseudo-ChE</w:t>
            </w:r>
          </w:p>
        </w:tc>
      </w:tr>
      <w:tr w:rsidR="00C36B3D" w:rsidRPr="00C36B3D" w14:paraId="4CCCB0A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3F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IL-1 signaling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78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B1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C36B3D" w:rsidRPr="00C36B3D" w14:paraId="4FCED5FA"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F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DFB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CD9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C36B3D" w:rsidRPr="00C36B3D" w14:paraId="55318F6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BE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7B6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32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77DC3364" w14:textId="77777777" w:rsidTr="00A15B47">
        <w:trPr>
          <w:trHeight w:val="110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923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471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0C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12F81CD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53762E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C36B3D" w:rsidRPr="00C36B3D" w14:paraId="62B1C4F8" w14:textId="77777777" w:rsidTr="00A15B47">
        <w:trPr>
          <w:trHeight w:val="644"/>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C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Phosphodiesterases in neuronal function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D24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96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0B09E3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C36B3D" w:rsidRPr="00C36B3D" w14:paraId="77F111D4"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520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F0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DC7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C36B3D" w:rsidRPr="00C36B3D" w14:paraId="6D85E016"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E6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34C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C44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C36B3D" w:rsidRPr="00C36B3D" w14:paraId="7448EE83"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955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13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413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Sphinganine</w:t>
            </w:r>
          </w:p>
        </w:tc>
      </w:tr>
      <w:tr w:rsidR="00C36B3D" w:rsidRPr="00C36B3D" w14:paraId="73783645"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0A6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0F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0FD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C36B3D" w:rsidRPr="00C36B3D" w14:paraId="5D8D74F6"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E8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C00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DCBB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C36B3D" w:rsidRPr="00C36B3D" w14:paraId="54FF287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EB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Vitamin D-sensitive calcium signaling in depression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55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345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546BCBC2"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84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936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62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65C89420" w14:textId="77777777" w:rsidTr="00A15B47">
        <w:trPr>
          <w:trHeight w:val="129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BA14"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Phosphatidylcholine catabolism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5AA0"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68590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LysoPC(20:0/0:0)</w:t>
            </w:r>
          </w:p>
          <w:p w14:paraId="702D16C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0CCF759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0C8858F0" w14:textId="0DDFA6D6"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A15B47" w:rsidRPr="00C36B3D" w14:paraId="6A856DD4" w14:textId="77777777" w:rsidTr="00A15B47">
        <w:trPr>
          <w:trHeight w:val="58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90A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0B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430B9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CB44344" w14:textId="19213491"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A15B47" w:rsidRPr="00C36B3D" w14:paraId="2C9D6F78" w14:textId="77777777" w:rsidTr="00A15B47">
        <w:trPr>
          <w:trHeight w:val="486"/>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358"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984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3E9A"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5E8B99F0" w14:textId="407485EB"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0848F200" w14:textId="77777777" w:rsidTr="00A15B47">
        <w:trPr>
          <w:trHeight w:val="521"/>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7BB3"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426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14:paraId="298CD1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A45F15B" w14:textId="5B4B6273" w:rsidR="00A15B47" w:rsidRPr="00C36B3D" w:rsidRDefault="00C26CAF"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A15B47" w:rsidRPr="00C36B3D">
              <w:rPr>
                <w:rFonts w:ascii="Times New Roman" w:eastAsia="Times New Roman" w:hAnsi="Times New Roman" w:cs="Times New Roman"/>
                <w:color w:val="000000"/>
                <w:sz w:val="24"/>
                <w:szCs w:val="24"/>
                <w:lang w:eastAsia="en-GB"/>
              </w:rPr>
              <w:t>5-Oxoproline</w:t>
            </w:r>
          </w:p>
        </w:tc>
      </w:tr>
    </w:tbl>
    <w:p w14:paraId="71B27B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673B0ED7"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MetaboAnalyst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3).</w:t>
      </w:r>
    </w:p>
    <w:p w14:paraId="5FB52B8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44543A61" w14:textId="77777777" w:rsidR="00C36B3D" w:rsidRPr="00C36B3D" w:rsidRDefault="00C36B3D" w:rsidP="00975DD2">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3: List of significantly altered pathways ( p &lt; 0.05) from the combined pathway analysis using MetaboAnalyst.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975DD2" w:rsidRPr="00C36B3D" w14:paraId="2D10338E" w14:textId="77777777" w:rsidTr="00975DD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6EA2"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1D10"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AAFC"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975DD2" w:rsidRPr="00C36B3D" w14:paraId="0FF0AE8F" w14:textId="77777777" w:rsidTr="00975DD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9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8E9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29E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4166DC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222C136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975DD2" w:rsidRPr="00C36B3D" w14:paraId="427BB30F" w14:textId="77777777" w:rsidTr="00975DD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F6565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FF429F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24FA6D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656FED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0CA0DA93"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13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3EE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F9E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2AA879F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1C5BE65A"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37244127" w14:textId="77777777" w:rsidTr="00975DD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1EDDEA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6D831DF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A220F4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7B21D8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3E9EA3E1"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3EF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AD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8AD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Sphinganine</w:t>
            </w:r>
          </w:p>
          <w:p w14:paraId="41374B3F" w14:textId="053953F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sidR="00975DD2">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014E94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20262071" w14:textId="77777777" w:rsidTr="00975DD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701BE6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48F1C4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E0BD82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770743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43DE8827"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621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304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97E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5082C579"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17ADE9AB"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07C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0FD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EF0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8372C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08C0C90F"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FE9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CCE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C9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57EAAEE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6143FFF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6586FA01" w14:textId="77777777" w:rsidTr="00975DD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6EDFBB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2DFAA2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99047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F0F35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bl>
    <w:p w14:paraId="0631DBA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A9719EE" w14:textId="66AE2435" w:rsidR="00C36B3D" w:rsidRPr="00C36B3D" w:rsidRDefault="00C36B3D" w:rsidP="00975DD2">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Since overrepresentation analysis can bury information concerning pathways that it deems to not be significantly altered, an extended network analysis of the significantly altered proteins was performed to uncover alterations in biological pathways that may have been lost by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31CA702A" w14:textId="77777777" w:rsidR="00C36B3D" w:rsidRPr="0082561A" w:rsidRDefault="00C36B3D" w:rsidP="00975DD2">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3E3DD7A5"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Analysis of which features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w:t>
      </w:r>
    </w:p>
    <w:p w14:paraId="7AB562C8" w14:textId="25B80027"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microbes were Firmicutes. This coincides with the majority of the taxa contributing most to the metagenomic separation of the IR and IS group (Figure 5). 6 of these 13 Firmicutes were Faecalibacterium prausnitzii, 3 were Oscillospira and 2 Coprococcus with the remaining 2 taxa being Dorea and Blautia producta.</w:t>
      </w:r>
    </w:p>
    <w:p w14:paraId="0E831B05" w14:textId="77777777" w:rsidR="00AF41A3" w:rsidRDefault="00AF41A3"/>
    <w:sectPr w:rsidR="00AF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A3"/>
    <w:rsid w:val="00357550"/>
    <w:rsid w:val="00465CCB"/>
    <w:rsid w:val="0048119C"/>
    <w:rsid w:val="004E3943"/>
    <w:rsid w:val="0060087D"/>
    <w:rsid w:val="007D052A"/>
    <w:rsid w:val="00807A16"/>
    <w:rsid w:val="0082561A"/>
    <w:rsid w:val="008617F7"/>
    <w:rsid w:val="008D2349"/>
    <w:rsid w:val="00944619"/>
    <w:rsid w:val="00975DD2"/>
    <w:rsid w:val="009D7E3F"/>
    <w:rsid w:val="00A15B47"/>
    <w:rsid w:val="00AF41A3"/>
    <w:rsid w:val="00C26CAF"/>
    <w:rsid w:val="00C36B3D"/>
    <w:rsid w:val="00E54B11"/>
    <w:rsid w:val="00EC0EA9"/>
    <w:rsid w:val="00EF6FDD"/>
    <w:rsid w:val="00F63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2DD"/>
  <w15:chartTrackingRefBased/>
  <w15:docId w15:val="{1EFF976C-EF2A-4164-A346-D7A0F7A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25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3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36B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256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C5805-F92D-4218-8F96-37A58B1C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1952</Words>
  <Characters>11132</Characters>
  <Application>Microsoft Office Word</Application>
  <DocSecurity>0</DocSecurity>
  <Lines>92</Lines>
  <Paragraphs>26</Paragraphs>
  <ScaleCrop>false</ScaleCrop>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21</cp:revision>
  <dcterms:created xsi:type="dcterms:W3CDTF">2020-06-15T12:42:00Z</dcterms:created>
  <dcterms:modified xsi:type="dcterms:W3CDTF">2020-06-15T17:58:00Z</dcterms:modified>
</cp:coreProperties>
</file>