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40F18284" w14:textId="77777777" w:rsidR="008A4053" w:rsidRDefault="008A4053" w:rsidP="008A4053">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Consistent with </w:t>
      </w:r>
      <w:r>
        <w:rPr>
          <w:rFonts w:ascii="Times New Roman" w:eastAsia="Times New Roman" w:hAnsi="Times New Roman" w:cs="Times New Roman"/>
          <w:color w:val="000000"/>
          <w:sz w:val="24"/>
          <w:szCs w:val="24"/>
          <w:lang w:eastAsia="en-GB"/>
        </w:rPr>
        <w:t>the Bacteroidetes mean abundance being lower in the IR group</w:t>
      </w:r>
      <w:r w:rsidRPr="00C36B3D">
        <w:rPr>
          <w:rFonts w:ascii="Times New Roman" w:eastAsia="Times New Roman" w:hAnsi="Times New Roman" w:cs="Times New Roman"/>
          <w:color w:val="000000"/>
          <w:sz w:val="24"/>
          <w:szCs w:val="24"/>
          <w:lang w:eastAsia="en-GB"/>
        </w:rPr>
        <w:t xml:space="preserve"> (Figure 4</w:t>
      </w:r>
      <w:r>
        <w:rPr>
          <w:rFonts w:ascii="Times New Roman" w:eastAsia="Times New Roman" w:hAnsi="Times New Roman" w:cs="Times New Roman"/>
          <w:color w:val="000000"/>
          <w:sz w:val="24"/>
          <w:szCs w:val="24"/>
          <w:lang w:eastAsia="en-GB"/>
        </w:rPr>
        <w:t>.B</w:t>
      </w:r>
      <w:r w:rsidRPr="00C36B3D">
        <w:rPr>
          <w:rFonts w:ascii="Times New Roman" w:eastAsia="Times New Roman" w:hAnsi="Times New Roman" w:cs="Times New Roman"/>
          <w:color w:val="000000"/>
          <w:sz w:val="24"/>
          <w:szCs w:val="24"/>
          <w:lang w:eastAsia="en-GB"/>
        </w:rPr>
        <w:t xml:space="preserve">), the microbe </w:t>
      </w:r>
      <w:r>
        <w:rPr>
          <w:rFonts w:ascii="Times New Roman" w:eastAsia="Times New Roman" w:hAnsi="Times New Roman" w:cs="Times New Roman"/>
          <w:color w:val="000000"/>
          <w:sz w:val="24"/>
          <w:szCs w:val="24"/>
          <w:lang w:eastAsia="en-GB"/>
        </w:rPr>
        <w:t>least</w:t>
      </w:r>
      <w:r w:rsidRPr="00C36B3D">
        <w:rPr>
          <w:rFonts w:ascii="Times New Roman" w:eastAsia="Times New Roman" w:hAnsi="Times New Roman" w:cs="Times New Roman"/>
          <w:color w:val="000000"/>
          <w:sz w:val="24"/>
          <w:szCs w:val="24"/>
          <w:lang w:eastAsia="en-GB"/>
        </w:rPr>
        <w:t xml:space="preserve"> abundant in the IR condition compared to the IS condition was of the Bacteroidetes phylum</w:t>
      </w:r>
      <w:r>
        <w:rPr>
          <w:rFonts w:ascii="Times New Roman" w:eastAsia="Times New Roman" w:hAnsi="Times New Roman" w:cs="Times New Roman"/>
          <w:color w:val="000000"/>
          <w:sz w:val="24"/>
          <w:szCs w:val="24"/>
          <w:lang w:eastAsia="en-GB"/>
        </w:rPr>
        <w:t xml:space="preserve"> (Figure 5). However, the microbe most abundant in the IR samples was </w:t>
      </w:r>
      <w:r>
        <w:rPr>
          <w:rFonts w:ascii="Times New Roman" w:eastAsia="Times New Roman" w:hAnsi="Times New Roman" w:cs="Times New Roman"/>
          <w:color w:val="000000"/>
          <w:sz w:val="24"/>
          <w:szCs w:val="24"/>
          <w:lang w:eastAsia="en-GB"/>
        </w:rPr>
        <w:lastRenderedPageBreak/>
        <w:t xml:space="preserve">found to belong to the Firmicutes phylum (Figure 5). This contradicted the observation of a lower Firmicutes mean abundance in the IR group (Figure 4.C). </w:t>
      </w:r>
    </w:p>
    <w:p w14:paraId="60885237" w14:textId="0BCC8AB2"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On the other hand, 2 out of the 10 microbes less abundant in IR and none of those more abundant in IR were Lachnospira.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Based on a logFC &gt; 0.05 or &lt; -0.05, 9 out of the 21 less abundant metabolites and 3 out of the 19 more abundant metabolites were sufficiently changed (Table 1). Unlike the results of the proteomic DA, 7 metabolites possessed a significant adjusted p-value with 5 also having a logFC suggesting a sufficient change in abundance (Table 1). The remaining 2 metabolites with a logFC &gt; 0.05 or &lt; -0.05 were HMDB02759 (logFC = -0.327) and HMDB00705 (logFC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r w:rsidR="00465CCB" w:rsidRPr="00C36B3D">
              <w:rPr>
                <w:rFonts w:ascii="Times New Roman" w:eastAsia="Times New Roman" w:hAnsi="Times New Roman" w:cs="Times New Roman"/>
                <w:color w:val="000000"/>
                <w:sz w:val="24"/>
                <w:szCs w:val="24"/>
                <w:lang w:eastAsia="en-GB"/>
              </w:rPr>
              <w:t>Lysophospholipid</w:t>
            </w:r>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Class = glycerolipids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3A529432"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Glu</w:t>
            </w:r>
            <w:r w:rsidR="00103329">
              <w:rPr>
                <w:rFonts w:ascii="Times New Roman" w:eastAsia="Times New Roman" w:hAnsi="Times New Roman" w:cs="Times New Roman"/>
                <w:color w:val="000000"/>
                <w:sz w:val="24"/>
                <w:szCs w:val="24"/>
                <w:lang w:eastAsia="en-GB"/>
              </w:rPr>
              <w:t>t</w:t>
            </w:r>
            <w:r w:rsidRPr="00C36B3D">
              <w:rPr>
                <w:rFonts w:ascii="Times New Roman" w:eastAsia="Times New Roman" w:hAnsi="Times New Roman" w:cs="Times New Roman"/>
                <w:color w:val="000000"/>
                <w:sz w:val="24"/>
                <w:szCs w:val="24"/>
                <w:lang w:eastAsia="en-GB"/>
              </w:rPr>
              <w:t>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LysoPC(20:0/0:0)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Lysophospholipid</w:t>
            </w:r>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112560">
        <w:trPr>
          <w:trHeight w:val="58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5AFB2E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w:t>
            </w:r>
            <w:r w:rsidR="00B9287F">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E54" w14:textId="77147AB2" w:rsidR="00112560"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112560">
        <w:trPr>
          <w:trHeight w:val="505"/>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0C8858F0" w14:textId="542CBEF7" w:rsidR="00A15B47"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w:t>
      </w:r>
      <w:r w:rsidRPr="00C36B3D">
        <w:rPr>
          <w:rFonts w:ascii="Times New Roman" w:eastAsia="Times New Roman" w:hAnsi="Times New Roman" w:cs="Times New Roman"/>
          <w:color w:val="000000"/>
          <w:sz w:val="24"/>
          <w:szCs w:val="24"/>
          <w:lang w:eastAsia="en-GB"/>
        </w:rPr>
        <w:lastRenderedPageBreak/>
        <w:t>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69ABEE7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4B7BCA">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1)</w:t>
            </w:r>
          </w:p>
          <w:p w14:paraId="4166DCA9" w14:textId="1BEDBB09"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4B7BCA">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 xml:space="preserve">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w:t>
      </w:r>
      <w:r w:rsidR="00C36B3D" w:rsidRPr="00C36B3D">
        <w:rPr>
          <w:rFonts w:ascii="Times New Roman" w:eastAsia="Times New Roman" w:hAnsi="Times New Roman" w:cs="Times New Roman"/>
          <w:color w:val="000000"/>
          <w:sz w:val="24"/>
          <w:szCs w:val="24"/>
          <w:lang w:eastAsia="en-GB"/>
        </w:rPr>
        <w:lastRenderedPageBreak/>
        <w:t>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were Faecalibacterium prausnitzii, 3 were Oscillospira and 2 Coprococcus</w:t>
      </w:r>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Dorea and Blautia producta.</w:t>
      </w:r>
    </w:p>
    <w:p w14:paraId="0E831B05" w14:textId="77777777" w:rsidR="00AF41A3" w:rsidRDefault="00AF41A3"/>
    <w:sectPr w:rsidR="00AF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103329"/>
    <w:rsid w:val="00112560"/>
    <w:rsid w:val="0015320A"/>
    <w:rsid w:val="00217B0B"/>
    <w:rsid w:val="00246AAB"/>
    <w:rsid w:val="00255EDB"/>
    <w:rsid w:val="00271FD2"/>
    <w:rsid w:val="0034418D"/>
    <w:rsid w:val="00344BE9"/>
    <w:rsid w:val="00357550"/>
    <w:rsid w:val="00417679"/>
    <w:rsid w:val="00465CCB"/>
    <w:rsid w:val="0048119C"/>
    <w:rsid w:val="00496E2D"/>
    <w:rsid w:val="004B7BCA"/>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A4053"/>
    <w:rsid w:val="008D2349"/>
    <w:rsid w:val="00944619"/>
    <w:rsid w:val="009502C2"/>
    <w:rsid w:val="00975DD2"/>
    <w:rsid w:val="009A632A"/>
    <w:rsid w:val="009D7E3F"/>
    <w:rsid w:val="00A15B47"/>
    <w:rsid w:val="00AA13C1"/>
    <w:rsid w:val="00AF41A3"/>
    <w:rsid w:val="00B42CA8"/>
    <w:rsid w:val="00B45D17"/>
    <w:rsid w:val="00B45DA8"/>
    <w:rsid w:val="00B47A17"/>
    <w:rsid w:val="00B9287F"/>
    <w:rsid w:val="00BF6494"/>
    <w:rsid w:val="00C009D6"/>
    <w:rsid w:val="00C26CAF"/>
    <w:rsid w:val="00C36B3D"/>
    <w:rsid w:val="00C5020D"/>
    <w:rsid w:val="00CB1FF5"/>
    <w:rsid w:val="00CB32F6"/>
    <w:rsid w:val="00D00E30"/>
    <w:rsid w:val="00DB286F"/>
    <w:rsid w:val="00E54B11"/>
    <w:rsid w:val="00EB259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 w:type="character" w:styleId="Strong">
    <w:name w:val="Strong"/>
    <w:basedOn w:val="DefaultParagraphFont"/>
    <w:uiPriority w:val="22"/>
    <w:qFormat/>
    <w:rsid w:val="00112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AFD5-D722-4B1C-9B1C-C33C88B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58</cp:revision>
  <dcterms:created xsi:type="dcterms:W3CDTF">2020-06-15T12:42:00Z</dcterms:created>
  <dcterms:modified xsi:type="dcterms:W3CDTF">2020-06-18T12:07:00Z</dcterms:modified>
</cp:coreProperties>
</file>