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6"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7"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8"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9"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0"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1"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2"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3" w:history="1">
        <w:r w:rsidR="006F54AE">
          <w:rPr>
            <w:rStyle w:val="Hyperlink"/>
            <w:color w:val="1155CC"/>
          </w:rPr>
          <w:t>https://www.thelancet.com/pdfs/journals/ebiom/PIIS2352-3964(19)30800-X.pdf</w:t>
        </w:r>
      </w:hyperlink>
      <w:r w:rsidR="0013238C">
        <w:rPr>
          <w:rStyle w:val="Hyperlink"/>
          <w:color w:val="1155CC"/>
        </w:rPr>
        <w:t xml:space="preserve">, </w:t>
      </w:r>
      <w:hyperlink r:id="rId14"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136210D"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64373">
        <w:rPr>
          <w:color w:val="1155CC"/>
        </w:rPr>
        <w:t xml:space="preserve">, </w:t>
      </w:r>
      <w:hyperlink r:id="rId15" w:history="1">
        <w:r w:rsidR="00664373">
          <w:rPr>
            <w:rStyle w:val="Hyperlink"/>
          </w:rPr>
          <w:t>https://www.nature.com/articles/s41467-018-05357-4</w:t>
        </w:r>
      </w:hyperlink>
      <w:r w:rsidR="006A1826" w:rsidRPr="000D17FF">
        <w:rPr>
          <w:color w:val="000000"/>
        </w:rPr>
        <w:t>)</w:t>
      </w:r>
      <w:r w:rsidR="006A1826">
        <w:rPr>
          <w:color w:val="000000"/>
        </w:rPr>
        <w:t xml:space="preserve">. However, </w:t>
      </w:r>
      <w:del w:id="0" w:author="Susan Steinbusch-Coort" w:date="2020-06-22T09:10:00Z">
        <w:r w:rsidR="006A1826" w:rsidDel="002F30F8">
          <w:rPr>
            <w:color w:val="000000"/>
          </w:rPr>
          <w:delText>insulin resistance</w:delText>
        </w:r>
      </w:del>
      <w:ins w:id="1" w:author="Susan Steinbusch-Coort" w:date="2020-06-22T09:10:00Z">
        <w:r w:rsidR="002F30F8">
          <w:rPr>
            <w:color w:val="000000"/>
          </w:rPr>
          <w:t>IR</w:t>
        </w:r>
      </w:ins>
      <w:r w:rsidR="006A1826">
        <w:rPr>
          <w:color w:val="000000"/>
        </w:rPr>
        <w:t xml:space="preserv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6"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ins w:id="2" w:author="Susan Steinbusch-Coort" w:date="2020-06-22T09:11:00Z">
        <w:r w:rsidR="002F30F8">
          <w:rPr>
            <w:color w:val="000000"/>
          </w:rPr>
          <w:t>free fatty acids (</w:t>
        </w:r>
      </w:ins>
      <w:r w:rsidR="007162EB">
        <w:rPr>
          <w:color w:val="000000"/>
        </w:rPr>
        <w:t>FFAs</w:t>
      </w:r>
      <w:ins w:id="3" w:author="Susan Steinbusch-Coort" w:date="2020-06-22T09:11:00Z">
        <w:r w:rsidR="002F30F8">
          <w:rPr>
            <w:color w:val="000000"/>
          </w:rPr>
          <w:t>)</w:t>
        </w:r>
      </w:ins>
      <w:r w:rsidR="00BA422B">
        <w:rPr>
          <w:color w:val="000000"/>
        </w:rPr>
        <w:t xml:space="preserve"> and </w:t>
      </w:r>
      <w:ins w:id="4" w:author="Susan Steinbusch-Coort" w:date="2020-06-22T09:11:00Z">
        <w:r w:rsidR="002F30F8">
          <w:rPr>
            <w:color w:val="000000"/>
          </w:rPr>
          <w:t>very low density lipoprotein (</w:t>
        </w:r>
      </w:ins>
      <w:r w:rsidR="00BA422B">
        <w:rPr>
          <w:color w:val="000000"/>
        </w:rPr>
        <w:t>VLDLs</w:t>
      </w:r>
      <w:ins w:id="5" w:author="Susan Steinbusch-Coort" w:date="2020-06-22T09:11:00Z">
        <w:r w:rsidR="002F30F8">
          <w:rPr>
            <w:color w:val="000000"/>
          </w:rPr>
          <w:t>)</w:t>
        </w:r>
      </w:ins>
      <w:r w:rsidR="00BA422B">
        <w:rPr>
          <w:color w:val="000000"/>
        </w:rPr>
        <w:t xml:space="preserve">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7"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6"/>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6"/>
      <w:proofErr w:type="spellEnd"/>
      <w:r w:rsidR="00780026">
        <w:rPr>
          <w:rStyle w:val="CommentReference"/>
          <w:rFonts w:asciiTheme="minorHAnsi" w:eastAsiaTheme="minorHAnsi" w:hAnsiTheme="minorHAnsi" w:cstheme="minorBidi"/>
          <w:lang w:eastAsia="en-US"/>
        </w:rPr>
        <w:commentReference w:id="6"/>
      </w:r>
      <w:r w:rsidR="00780026">
        <w:rPr>
          <w:color w:val="000000"/>
        </w:rPr>
        <w:t xml:space="preserve">). </w:t>
      </w:r>
    </w:p>
    <w:p w14:paraId="166F4DA6" w14:textId="57F28294"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del w:id="7" w:author="Susan Steinbusch-Coort" w:date="2020-06-22T09:13:00Z">
        <w:r w:rsidR="00537ED8" w:rsidDel="00D568F7">
          <w:rPr>
            <w:color w:val="000000"/>
          </w:rPr>
          <w:delText>still remain</w:delText>
        </w:r>
      </w:del>
      <w:ins w:id="8" w:author="Susan Steinbusch-Coort" w:date="2020-06-22T09:13:00Z">
        <w:r w:rsidR="00D568F7">
          <w:rPr>
            <w:color w:val="000000"/>
          </w:rPr>
          <w:t>remain</w:t>
        </w:r>
      </w:ins>
      <w:r w:rsidR="00537ED8">
        <w:rPr>
          <w:color w:val="000000"/>
        </w:rPr>
        <w:t xml:space="preserve"> unclear.</w:t>
      </w:r>
      <w:r w:rsidR="00735FC3">
        <w:rPr>
          <w:color w:val="000000"/>
        </w:rPr>
        <w:t xml:space="preserve"> For this reason, </w:t>
      </w:r>
      <w:del w:id="9" w:author="Susan Steinbusch-Coort" w:date="2020-06-22T09:13:00Z">
        <w:r w:rsidR="00735FC3" w:rsidDel="00D568F7">
          <w:rPr>
            <w:color w:val="000000"/>
          </w:rPr>
          <w:delText xml:space="preserve">this </w:delText>
        </w:r>
      </w:del>
      <w:ins w:id="10" w:author="Susan Steinbusch-Coort" w:date="2020-06-22T09:13:00Z">
        <w:r w:rsidR="00D568F7">
          <w:rPr>
            <w:color w:val="000000"/>
          </w:rPr>
          <w:t xml:space="preserve">the current </w:t>
        </w:r>
      </w:ins>
      <w:r w:rsidR="00735FC3">
        <w:rPr>
          <w:color w:val="000000"/>
        </w:rPr>
        <w:t xml:space="preserve">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w:t>
      </w:r>
      <w:ins w:id="11" w:author="Susan Steinbusch-Coort" w:date="2020-06-22T09:13:00Z">
        <w:r w:rsidR="00D568F7">
          <w:rPr>
            <w:color w:val="000000"/>
          </w:rPr>
          <w:t xml:space="preserve"> subjects</w:t>
        </w:r>
      </w:ins>
      <w:del w:id="12" w:author="Susan Steinbusch-Coort" w:date="2020-06-22T09:13:00Z">
        <w:r w:rsidR="00735FC3" w:rsidDel="00D568F7">
          <w:rPr>
            <w:color w:val="000000"/>
          </w:rPr>
          <w:delText>s</w:delText>
        </w:r>
      </w:del>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w:t>
      </w:r>
      <w:del w:id="13" w:author="Susan Steinbusch-Coort" w:date="2020-06-22T09:17:00Z">
        <w:r w:rsidR="0079361B" w:rsidDel="00D568F7">
          <w:delText xml:space="preserve"> </w:delText>
        </w:r>
      </w:del>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0EF6A710" w:rsidR="0049168B" w:rsidRDefault="00B14618" w:rsidP="00D04A98">
      <w:pPr>
        <w:pStyle w:val="NormalWeb"/>
        <w:spacing w:before="0" w:beforeAutospacing="0" w:after="0" w:afterAutospacing="0" w:line="360" w:lineRule="auto"/>
        <w:jc w:val="both"/>
      </w:pPr>
      <w:r>
        <w:lastRenderedPageBreak/>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106 individuals at high risk for diabetes over a period of 4 years in order to determine the ‘physiological changes that occur in the microbiome and host during viral infection and during changes in glucose levels and insulin resistance’ (</w:t>
      </w:r>
      <w:hyperlink r:id="rId22"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w:t>
      </w:r>
      <w:del w:id="14" w:author="Susan Steinbusch-Coort" w:date="2020-06-22T09:44:00Z">
        <w:r w:rsidR="00C21195" w:rsidDel="00ED2AAC">
          <w:rPr>
            <w:color w:val="000000"/>
          </w:rPr>
          <w:delText xml:space="preserve">2 </w:delText>
        </w:r>
      </w:del>
      <w:ins w:id="15" w:author="Susan Steinbusch-Coort" w:date="2020-06-22T09:44:00Z">
        <w:r w:rsidR="00ED2AAC">
          <w:rPr>
            <w:color w:val="000000"/>
          </w:rPr>
          <w:t xml:space="preserve">IR and IS </w:t>
        </w:r>
      </w:ins>
      <w:r w:rsidR="00C21195">
        <w:rPr>
          <w:color w:val="000000"/>
        </w:rPr>
        <w:t xml:space="preserve">groups was done </w:t>
      </w:r>
      <w:r w:rsidR="001106A1">
        <w:rPr>
          <w:color w:val="000000"/>
        </w:rPr>
        <w:t>using a Principal Coordinate Analysis (</w:t>
      </w:r>
      <w:proofErr w:type="spellStart"/>
      <w:r w:rsidR="001106A1">
        <w:rPr>
          <w:color w:val="000000"/>
        </w:rPr>
        <w:t>PCoA</w:t>
      </w:r>
      <w:proofErr w:type="spellEnd"/>
      <w:r w:rsidR="001106A1">
        <w:rPr>
          <w:color w:val="000000"/>
        </w:rPr>
        <w:t xml:space="preserve">)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w:t>
      </w:r>
      <w:commentRangeStart w:id="16"/>
      <w:r w:rsidR="003356EC">
        <w:rPr>
          <w:color w:val="000000"/>
        </w:rPr>
        <w:t xml:space="preserve">Finally, microbes and metabolites </w:t>
      </w:r>
      <w:r w:rsidR="00AF10B1">
        <w:rPr>
          <w:color w:val="000000"/>
        </w:rPr>
        <w:t xml:space="preserve">likely </w:t>
      </w:r>
      <w:commentRangeEnd w:id="16"/>
      <w:r w:rsidR="00ED2AAC">
        <w:rPr>
          <w:rStyle w:val="CommentReference"/>
          <w:rFonts w:asciiTheme="minorHAnsi" w:eastAsiaTheme="minorHAnsi" w:hAnsiTheme="minorHAnsi" w:cstheme="minorBidi"/>
          <w:lang w:eastAsia="en-US"/>
        </w:rPr>
        <w:commentReference w:id="16"/>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3"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4"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5"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(SSPG</w:t>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68BE01F3"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At each visit blood, urine and </w:t>
      </w:r>
      <w:del w:id="17" w:author="Susan Steinbusch-Coort" w:date="2020-06-22T09:45:00Z">
        <w:r w:rsidRPr="00AB7B0F" w:rsidDel="00ED2AAC">
          <w:rPr>
            <w:rFonts w:ascii="Times New Roman" w:eastAsia="Times New Roman" w:hAnsi="Times New Roman" w:cs="Times New Roman"/>
            <w:color w:val="000000"/>
            <w:sz w:val="24"/>
            <w:szCs w:val="24"/>
            <w:lang w:eastAsia="en-GB"/>
          </w:rPr>
          <w:delText>fecal</w:delText>
        </w:r>
      </w:del>
      <w:ins w:id="18" w:author="Susan Steinbusch-Coort" w:date="2020-06-22T09:45:00Z">
        <w:r w:rsidR="00ED2AAC" w:rsidRPr="00AB7B0F">
          <w:rPr>
            <w:rFonts w:ascii="Times New Roman" w:eastAsia="Times New Roman" w:hAnsi="Times New Roman" w:cs="Times New Roman"/>
            <w:color w:val="000000"/>
            <w:sz w:val="24"/>
            <w:szCs w:val="24"/>
            <w:lang w:eastAsia="en-GB"/>
          </w:rPr>
          <w:t>faecal</w:t>
        </w:r>
      </w:ins>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6"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7"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commentRangeStart w:id="19"/>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w:t>
      </w:r>
      <w:commentRangeEnd w:id="19"/>
      <w:r w:rsidR="006D19B9">
        <w:rPr>
          <w:rStyle w:val="CommentReference"/>
        </w:rPr>
        <w:commentReference w:id="19"/>
      </w:r>
      <w:r w:rsidRPr="00AB7B0F">
        <w:rPr>
          <w:rFonts w:ascii="Times New Roman" w:eastAsia="Times New Roman" w:hAnsi="Times New Roman" w:cs="Times New Roman"/>
          <w:color w:val="000000"/>
          <w:sz w:val="24"/>
          <w:szCs w:val="24"/>
          <w:lang w:eastAsia="en-GB"/>
        </w:rPr>
        <w:t xml:space="preserve">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9"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t xml:space="preserve">of the </w:t>
      </w:r>
      <w:proofErr w:type="spellStart"/>
      <w:r w:rsidR="004F339B">
        <w:rPr>
          <w:rFonts w:ascii="Times New Roman" w:eastAsia="Times New Roman" w:hAnsi="Times New Roman" w:cs="Times New Roman"/>
          <w:color w:val="000000"/>
          <w:sz w:val="24"/>
          <w:szCs w:val="24"/>
          <w:lang w:eastAsia="en-GB"/>
        </w:rPr>
        <w:t>phyloseq</w:t>
      </w:r>
      <w:proofErr w:type="spellEnd"/>
      <w:r w:rsidR="004F339B">
        <w:rPr>
          <w:rFonts w:ascii="Times New Roman" w:eastAsia="Times New Roman" w:hAnsi="Times New Roman" w:cs="Times New Roman"/>
          <w:color w:val="000000"/>
          <w:sz w:val="24"/>
          <w:szCs w:val="24"/>
          <w:lang w:eastAsia="en-GB"/>
        </w:rPr>
        <w:t xml:space="preserve"> R package </w:t>
      </w:r>
      <w:r w:rsidR="004F339B">
        <w:rPr>
          <w:rFonts w:ascii="Times New Roman" w:hAnsi="Times New Roman" w:cs="Times New Roman"/>
          <w:color w:val="000000"/>
          <w:sz w:val="24"/>
          <w:szCs w:val="24"/>
        </w:rPr>
        <w:t>(</w:t>
      </w:r>
      <w:hyperlink r:id="rId30"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lastRenderedPageBreak/>
        <w:t>Statistical analysis of the metagenomic data</w:t>
      </w:r>
    </w:p>
    <w:p w14:paraId="55F6ADFD" w14:textId="2454E496"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commentRangeStart w:id="20"/>
      <w:proofErr w:type="spellStart"/>
      <w:r w:rsidRPr="006C0A28">
        <w:rPr>
          <w:rFonts w:ascii="Times New Roman" w:hAnsi="Times New Roman" w:cs="Times New Roman"/>
          <w:i/>
          <w:iCs/>
          <w:color w:val="000000"/>
          <w:sz w:val="24"/>
          <w:szCs w:val="24"/>
          <w:rPrChange w:id="21" w:author="Susan Steinbusch-Coort" w:date="2020-06-22T12:03:00Z">
            <w:rPr>
              <w:rFonts w:ascii="Times New Roman" w:hAnsi="Times New Roman" w:cs="Times New Roman"/>
              <w:color w:val="000000"/>
              <w:sz w:val="24"/>
              <w:szCs w:val="24"/>
            </w:rPr>
          </w:rPrChange>
        </w:rPr>
        <w:t>phyloseq</w:t>
      </w:r>
      <w:commentRangeEnd w:id="20"/>
      <w:proofErr w:type="spellEnd"/>
      <w:r w:rsidR="006C0A28">
        <w:rPr>
          <w:rStyle w:val="CommentReference"/>
          <w:rFonts w:asciiTheme="minorHAnsi" w:eastAsiaTheme="minorHAnsi" w:hAnsiTheme="minorHAnsi" w:cstheme="minorBidi"/>
          <w:lang w:eastAsia="en-US"/>
        </w:rPr>
        <w:commentReference w:id="20"/>
      </w:r>
      <w:r w:rsidRPr="00AB7B0F">
        <w:rPr>
          <w:rFonts w:ascii="Times New Roman" w:hAnsi="Times New Roman" w:cs="Times New Roman"/>
          <w:color w:val="000000"/>
          <w:sz w:val="24"/>
          <w:szCs w:val="24"/>
        </w:rPr>
        <w:t xml:space="preserve">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 xml:space="preserve">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These last 2 analyses were done using the vegan</w:t>
      </w:r>
      <w:ins w:id="22" w:author="Susan Steinbusch-Coort" w:date="2020-06-22T12:02:00Z">
        <w:r w:rsidR="006C0A28">
          <w:rPr>
            <w:rFonts w:ascii="Times New Roman" w:hAnsi="Times New Roman" w:cs="Times New Roman"/>
            <w:color w:val="000000"/>
            <w:sz w:val="24"/>
            <w:szCs w:val="24"/>
          </w:rPr>
          <w:t xml:space="preserve"> R-</w:t>
        </w:r>
      </w:ins>
      <w:r w:rsidRPr="00AB7B0F">
        <w:rPr>
          <w:rFonts w:ascii="Times New Roman" w:hAnsi="Times New Roman" w:cs="Times New Roman"/>
          <w:color w:val="000000"/>
          <w:sz w:val="24"/>
          <w:szCs w:val="24"/>
        </w:rPr>
        <w:t xml:space="preserve">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1"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the metabolomic data was filtered to only include metabolites </w:t>
      </w:r>
      <w:r w:rsidR="002F42E4">
        <w:rPr>
          <w:rFonts w:ascii="Times New Roman" w:eastAsia="Times New Roman" w:hAnsi="Times New Roman" w:cs="Times New Roman"/>
          <w:color w:val="000000"/>
          <w:sz w:val="24"/>
          <w:szCs w:val="24"/>
          <w:lang w:eastAsia="en-GB"/>
        </w:rPr>
        <w:t>for which an HMDB identifier was given</w:t>
      </w:r>
      <w:del w:id="23" w:author="Susan Steinbusch-Coort" w:date="2020-06-22T16:28:00Z">
        <w:r w:rsidR="002F42E4" w:rsidDel="00CD6FE1">
          <w:rPr>
            <w:rFonts w:ascii="Times New Roman" w:eastAsia="Times New Roman" w:hAnsi="Times New Roman" w:cs="Times New Roman"/>
            <w:color w:val="000000"/>
            <w:sz w:val="24"/>
            <w:szCs w:val="24"/>
            <w:lang w:eastAsia="en-GB"/>
          </w:rPr>
          <w:delText xml:space="preserve"> </w:delText>
        </w:r>
      </w:del>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w:t>
      </w:r>
      <w:commentRangeStart w:id="24"/>
      <w:r w:rsidR="001D4194">
        <w:rPr>
          <w:rFonts w:ascii="Times New Roman" w:hAnsi="Times New Roman" w:cs="Times New Roman"/>
          <w:sz w:val="24"/>
          <w:szCs w:val="24"/>
        </w:rPr>
        <w:t xml:space="preserve">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w:t>
      </w:r>
      <w:commentRangeEnd w:id="24"/>
      <w:r w:rsidR="00CD6FE1">
        <w:rPr>
          <w:rStyle w:val="CommentReference"/>
        </w:rPr>
        <w:commentReference w:id="24"/>
      </w:r>
      <w:r w:rsidR="000F25B6">
        <w:rPr>
          <w:rFonts w:ascii="Times New Roman" w:hAnsi="Times New Roman" w:cs="Times New Roman"/>
          <w:sz w:val="24"/>
          <w:szCs w:val="24"/>
        </w:rPr>
        <w:t xml:space="preserve">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w:t>
      </w:r>
      <w:r w:rsidR="0048612D" w:rsidRPr="00CD6FE1">
        <w:rPr>
          <w:rFonts w:ascii="Times New Roman" w:hAnsi="Times New Roman" w:cs="Times New Roman"/>
          <w:i/>
          <w:iCs/>
          <w:sz w:val="24"/>
          <w:szCs w:val="24"/>
          <w:rPrChange w:id="25" w:author="Susan Steinbusch-Coort" w:date="2020-06-22T16:30:00Z">
            <w:rPr>
              <w:rFonts w:ascii="Times New Roman" w:hAnsi="Times New Roman" w:cs="Times New Roman"/>
              <w:sz w:val="24"/>
              <w:szCs w:val="24"/>
            </w:rPr>
          </w:rPrChange>
        </w:rPr>
        <w:t>MetaboDiff</w:t>
      </w:r>
      <w:r w:rsidR="0048612D">
        <w:rPr>
          <w:rFonts w:ascii="Times New Roman" w:hAnsi="Times New Roman" w:cs="Times New Roman"/>
          <w:sz w:val="24"/>
          <w:szCs w:val="24"/>
        </w:rPr>
        <w:t xml:space="preserve"> package </w:t>
      </w:r>
      <w:r w:rsidR="00495B58">
        <w:rPr>
          <w:rFonts w:ascii="Times New Roman" w:eastAsia="Times New Roman" w:hAnsi="Times New Roman" w:cs="Times New Roman"/>
          <w:color w:val="000000"/>
          <w:sz w:val="24"/>
          <w:szCs w:val="24"/>
          <w:lang w:eastAsia="en-GB"/>
        </w:rPr>
        <w:t>(</w:t>
      </w:r>
      <w:hyperlink r:id="rId32"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Emphasis"/>
          <w:rFonts w:ascii="Times New Roman" w:hAnsi="Times New Roman" w:cs="Times New Roman"/>
          <w:i w:val="0"/>
          <w:iCs w:val="0"/>
          <w:sz w:val="24"/>
          <w:szCs w:val="24"/>
          <w:shd w:val="clear" w:color="auto" w:fill="FFFFFF"/>
        </w:rPr>
        <w:t xml:space="preserve">HUGO Gene Nomenclature Committee)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3"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2419A211" w:rsidR="009F688A" w:rsidRDefault="00D37257" w:rsidP="00672A52">
      <w:pPr>
        <w:spacing w:line="360" w:lineRule="auto"/>
        <w:rPr>
          <w:rFonts w:ascii="Times New Roman" w:hAnsi="Times New Roman" w:cs="Times New Roman"/>
          <w:color w:val="000000"/>
          <w:sz w:val="24"/>
          <w:szCs w:val="24"/>
        </w:rPr>
      </w:pPr>
      <w:del w:id="26" w:author="Susan Steinbusch-Coort" w:date="2020-06-22T16:31:00Z">
        <w:r w:rsidDel="00CD6FE1">
          <w:rPr>
            <w:rFonts w:ascii="Times New Roman" w:hAnsi="Times New Roman" w:cs="Times New Roman"/>
            <w:sz w:val="24"/>
            <w:szCs w:val="24"/>
            <w:lang w:eastAsia="en-GB"/>
          </w:rPr>
          <w:delText>Similar</w:delText>
        </w:r>
        <w:r w:rsidR="00282752" w:rsidDel="00CD6FE1">
          <w:rPr>
            <w:rFonts w:ascii="Times New Roman" w:hAnsi="Times New Roman" w:cs="Times New Roman"/>
            <w:sz w:val="24"/>
            <w:szCs w:val="24"/>
            <w:lang w:eastAsia="en-GB"/>
          </w:rPr>
          <w:delText>ly</w:delText>
        </w:r>
      </w:del>
      <w:ins w:id="27" w:author="Susan Steinbusch-Coort" w:date="2020-06-22T16:31:00Z">
        <w:r w:rsidR="00CD6FE1">
          <w:rPr>
            <w:rFonts w:ascii="Times New Roman" w:hAnsi="Times New Roman" w:cs="Times New Roman"/>
            <w:sz w:val="24"/>
            <w:szCs w:val="24"/>
            <w:lang w:eastAsia="en-GB"/>
          </w:rPr>
          <w:t>Similarly,</w:t>
        </w:r>
      </w:ins>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commentRangeStart w:id="28"/>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w:t>
      </w:r>
      <w:commentRangeEnd w:id="28"/>
      <w:r w:rsidR="00CD6FE1">
        <w:rPr>
          <w:rStyle w:val="CommentReference"/>
        </w:rPr>
        <w:commentReference w:id="28"/>
      </w:r>
      <w:r w:rsidR="00016455" w:rsidRPr="006A40E4">
        <w:rPr>
          <w:rStyle w:val="gd15mcfceub"/>
          <w:rFonts w:ascii="Times New Roman" w:hAnsi="Times New Roman" w:cs="Times New Roman"/>
          <w:color w:val="000000"/>
          <w:sz w:val="24"/>
          <w:szCs w:val="24"/>
          <w:bdr w:val="none" w:sz="0" w:space="0" w:color="auto" w:frame="1"/>
        </w:rPr>
        <w:t>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7FDC806F"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del w:id="29" w:author="Susan Steinbusch-Coort" w:date="2020-06-22T16:37:00Z">
        <w:r w:rsidR="00AF064E" w:rsidDel="00CD6FE1">
          <w:rPr>
            <w:rFonts w:ascii="Times New Roman" w:eastAsia="Times New Roman" w:hAnsi="Times New Roman" w:cs="Times New Roman"/>
            <w:i/>
            <w:iCs/>
            <w:color w:val="auto"/>
            <w:u w:val="single"/>
            <w:lang w:eastAsia="en-GB"/>
          </w:rPr>
          <w:delText>changes</w:delText>
        </w:r>
      </w:del>
      <w:ins w:id="30" w:author="Susan Steinbusch-Coort" w:date="2020-06-22T16:37:00Z">
        <w:r w:rsidR="00CD6FE1">
          <w:rPr>
            <w:rFonts w:ascii="Times New Roman" w:eastAsia="Times New Roman" w:hAnsi="Times New Roman" w:cs="Times New Roman"/>
            <w:i/>
            <w:iCs/>
            <w:color w:val="auto"/>
            <w:u w:val="single"/>
            <w:lang w:eastAsia="en-GB"/>
          </w:rPr>
          <w:t>differences</w:t>
        </w:r>
      </w:ins>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4"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5"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53CE08CF"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 xml:space="preserve">identifiers </w:t>
      </w:r>
      <w:del w:id="31" w:author="Susan Steinbusch-Coort" w:date="2020-06-22T16:38:00Z">
        <w:r w:rsidRPr="00AB7B0F" w:rsidDel="00CD6FE1">
          <w:rPr>
            <w:rFonts w:ascii="Times New Roman" w:eastAsia="Times New Roman" w:hAnsi="Times New Roman" w:cs="Times New Roman"/>
            <w:color w:val="FF9900"/>
            <w:sz w:val="24"/>
            <w:szCs w:val="24"/>
            <w:lang w:eastAsia="en-GB"/>
          </w:rPr>
          <w:delText xml:space="preserve">from one well-known </w:delText>
        </w:r>
      </w:del>
      <w:ins w:id="32" w:author="Susan Steinbusch-Coort" w:date="2020-06-22T16:38:00Z">
        <w:r w:rsidR="00CD6FE1">
          <w:rPr>
            <w:rFonts w:ascii="Times New Roman" w:eastAsia="Times New Roman" w:hAnsi="Times New Roman" w:cs="Times New Roman"/>
            <w:color w:val="FF9900"/>
            <w:sz w:val="24"/>
            <w:szCs w:val="24"/>
            <w:lang w:eastAsia="en-GB"/>
          </w:rPr>
          <w:t xml:space="preserve">commonly used </w:t>
        </w:r>
      </w:ins>
      <w:r w:rsidRPr="00AB7B0F">
        <w:rPr>
          <w:rFonts w:ascii="Times New Roman" w:eastAsia="Times New Roman" w:hAnsi="Times New Roman" w:cs="Times New Roman"/>
          <w:color w:val="FF9900"/>
          <w:sz w:val="24"/>
          <w:szCs w:val="24"/>
          <w:lang w:eastAsia="en-GB"/>
        </w:rPr>
        <w:t>database</w:t>
      </w:r>
      <w:ins w:id="33" w:author="Susan Steinbusch-Coort" w:date="2020-06-22T16:38:00Z">
        <w:r w:rsidR="00CD6FE1">
          <w:rPr>
            <w:rFonts w:ascii="Times New Roman" w:eastAsia="Times New Roman" w:hAnsi="Times New Roman" w:cs="Times New Roman"/>
            <w:color w:val="FF9900"/>
            <w:sz w:val="24"/>
            <w:szCs w:val="24"/>
            <w:lang w:eastAsia="en-GB"/>
          </w:rPr>
          <w:t>s</w:t>
        </w:r>
      </w:ins>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4C8EE374"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iHMP study were replaced with corresponding HMDB identifiers using the metabolite annotation datafile </w:t>
      </w:r>
      <w:r w:rsidRPr="00AB7B0F">
        <w:rPr>
          <w:rFonts w:ascii="Times New Roman" w:eastAsia="Times New Roman" w:hAnsi="Times New Roman" w:cs="Times New Roman"/>
          <w:color w:val="000000"/>
          <w:sz w:val="24"/>
          <w:szCs w:val="24"/>
          <w:lang w:eastAsia="en-GB"/>
        </w:rPr>
        <w:lastRenderedPageBreak/>
        <w:t xml:space="preserve">available from the iHMP website. </w:t>
      </w:r>
      <w:commentRangeStart w:id="34"/>
      <w:del w:id="35" w:author="Susan Steinbusch-Coort" w:date="2020-06-22T16:39:00Z">
        <w:r w:rsidRPr="00AB7B0F" w:rsidDel="00C053E4">
          <w:rPr>
            <w:rFonts w:ascii="Times New Roman" w:eastAsia="Times New Roman" w:hAnsi="Times New Roman" w:cs="Times New Roman"/>
            <w:color w:val="000000"/>
            <w:sz w:val="24"/>
            <w:szCs w:val="24"/>
            <w:lang w:eastAsia="en-GB"/>
          </w:rPr>
          <w:delText xml:space="preserve">In some instances, 1 metabolite corresponded to 2 HMDB identifiers. In this case, only 1 of the 2 HMDB identifiers was used. </w:delText>
        </w:r>
        <w:commentRangeEnd w:id="34"/>
        <w:r w:rsidR="00C053E4" w:rsidDel="00C053E4">
          <w:rPr>
            <w:rStyle w:val="CommentReference"/>
          </w:rPr>
          <w:commentReference w:id="34"/>
        </w:r>
      </w:del>
      <w:r w:rsidRPr="00AB7B0F">
        <w:rPr>
          <w:rFonts w:ascii="Times New Roman" w:eastAsia="Times New Roman" w:hAnsi="Times New Roman" w:cs="Times New Roman"/>
          <w:color w:val="000000"/>
          <w:sz w:val="24"/>
          <w:szCs w:val="24"/>
          <w:lang w:eastAsia="en-GB"/>
        </w:rPr>
        <w:t>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HMDB identifiers in the </w:t>
      </w:r>
      <w:del w:id="36" w:author="Susan Steinbusch-Coort" w:date="2020-06-22T16:39:00Z">
        <w:r w:rsidRPr="00AB7B0F" w:rsidDel="00C053E4">
          <w:rPr>
            <w:rFonts w:ascii="Times New Roman" w:eastAsia="Times New Roman" w:hAnsi="Times New Roman" w:cs="Times New Roman"/>
            <w:color w:val="000000"/>
            <w:sz w:val="24"/>
            <w:szCs w:val="24"/>
            <w:lang w:eastAsia="en-GB"/>
          </w:rPr>
          <w:delText>aforementioned metabolite</w:delText>
        </w:r>
      </w:del>
      <w:ins w:id="37" w:author="Susan Steinbusch-Coort" w:date="2020-06-22T16:39:00Z">
        <w:r w:rsidR="00C053E4" w:rsidRPr="00AB7B0F">
          <w:rPr>
            <w:rFonts w:ascii="Times New Roman" w:eastAsia="Times New Roman" w:hAnsi="Times New Roman" w:cs="Times New Roman"/>
            <w:color w:val="000000"/>
            <w:sz w:val="24"/>
            <w:szCs w:val="24"/>
            <w:lang w:eastAsia="en-GB"/>
          </w:rPr>
          <w:t>metabolite</w:t>
        </w:r>
      </w:ins>
      <w:r w:rsidRPr="00AB7B0F">
        <w:rPr>
          <w:rFonts w:ascii="Times New Roman" w:eastAsia="Times New Roman" w:hAnsi="Times New Roman" w:cs="Times New Roman"/>
          <w:color w:val="000000"/>
          <w:sz w:val="24"/>
          <w:szCs w:val="24"/>
          <w:lang w:eastAsia="en-GB"/>
        </w:rPr>
        <w:t xml:space="preserv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not able to be recognized by PathVisio. These identifiers were then changed to HMDB identifiers that could be recognized by PathVis</w:t>
      </w:r>
      <w:ins w:id="38" w:author="Susan Steinbusch-Coort" w:date="2020-06-22T16:39:00Z">
        <w:r w:rsidR="00C053E4">
          <w:rPr>
            <w:rFonts w:ascii="Times New Roman" w:eastAsia="Times New Roman" w:hAnsi="Times New Roman" w:cs="Times New Roman"/>
            <w:color w:val="000000"/>
            <w:sz w:val="24"/>
            <w:szCs w:val="24"/>
            <w:lang w:eastAsia="en-GB"/>
          </w:rPr>
          <w:t>i</w:t>
        </w:r>
      </w:ins>
      <w:r w:rsidRPr="00AB7B0F">
        <w:rPr>
          <w:rFonts w:ascii="Times New Roman" w:eastAsia="Times New Roman" w:hAnsi="Times New Roman" w:cs="Times New Roman"/>
          <w:color w:val="000000"/>
          <w:sz w:val="24"/>
          <w:szCs w:val="24"/>
          <w:lang w:eastAsia="en-GB"/>
        </w:rPr>
        <w:t>o</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232B9A4D"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iHMP website, a </w:t>
      </w:r>
      <w:del w:id="39" w:author="Susan Steinbusch-Coort" w:date="2020-06-22T16:39:00Z">
        <w:r w:rsidRPr="00AB7B0F" w:rsidDel="00C053E4">
          <w:rPr>
            <w:rFonts w:ascii="Times New Roman" w:eastAsia="Times New Roman" w:hAnsi="Times New Roman" w:cs="Times New Roman"/>
            <w:color w:val="000000"/>
            <w:sz w:val="24"/>
            <w:szCs w:val="24"/>
            <w:lang w:eastAsia="en-GB"/>
          </w:rPr>
          <w:delText xml:space="preserve">Google </w:delText>
        </w:r>
      </w:del>
      <w:proofErr w:type="spellStart"/>
      <w:ins w:id="40" w:author="Susan Steinbusch-Coort" w:date="2020-06-22T16:39:00Z">
        <w:r w:rsidR="00C053E4">
          <w:rPr>
            <w:rFonts w:ascii="Times New Roman" w:eastAsia="Times New Roman" w:hAnsi="Times New Roman" w:cs="Times New Roman"/>
            <w:color w:val="000000"/>
            <w:sz w:val="24"/>
            <w:szCs w:val="24"/>
            <w:lang w:eastAsia="en-GB"/>
          </w:rPr>
          <w:t>BioMart</w:t>
        </w:r>
        <w:proofErr w:type="spellEnd"/>
        <w:r w:rsidR="00C053E4"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5E87EA28" w:rsidR="008032C3" w:rsidRPr="008B36FF" w:rsidRDefault="00C053E4"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ins w:id="41" w:author="Susan Steinbusch-Coort" w:date="2020-06-22T16:40:00Z">
        <w:r>
          <w:rPr>
            <w:rFonts w:ascii="Times New Roman" w:eastAsia="Times New Roman" w:hAnsi="Times New Roman" w:cs="Times New Roman"/>
            <w:color w:val="auto"/>
            <w:sz w:val="24"/>
            <w:szCs w:val="24"/>
            <w:lang w:eastAsia="en-GB"/>
          </w:rPr>
          <w:t xml:space="preserve">Pathway </w:t>
        </w:r>
      </w:ins>
      <w:del w:id="42" w:author="Susan Steinbusch-Coort" w:date="2020-06-22T16:40:00Z">
        <w:r w:rsidR="008B36FF" w:rsidRPr="00AB7B0F" w:rsidDel="00C053E4">
          <w:rPr>
            <w:rFonts w:ascii="Times New Roman" w:eastAsia="Times New Roman" w:hAnsi="Times New Roman" w:cs="Times New Roman"/>
            <w:color w:val="auto"/>
            <w:sz w:val="24"/>
            <w:szCs w:val="24"/>
            <w:lang w:eastAsia="en-GB"/>
          </w:rPr>
          <w:delText>Analysis </w:delText>
        </w:r>
      </w:del>
      <w:ins w:id="43" w:author="Susan Steinbusch-Coort" w:date="2020-06-22T16:40:00Z">
        <w:r>
          <w:rPr>
            <w:rFonts w:ascii="Times New Roman" w:eastAsia="Times New Roman" w:hAnsi="Times New Roman" w:cs="Times New Roman"/>
            <w:color w:val="auto"/>
            <w:sz w:val="24"/>
            <w:szCs w:val="24"/>
            <w:lang w:eastAsia="en-GB"/>
          </w:rPr>
          <w:t>a</w:t>
        </w:r>
        <w:r w:rsidRPr="00AB7B0F">
          <w:rPr>
            <w:rFonts w:ascii="Times New Roman" w:eastAsia="Times New Roman" w:hAnsi="Times New Roman" w:cs="Times New Roman"/>
            <w:color w:val="auto"/>
            <w:sz w:val="24"/>
            <w:szCs w:val="24"/>
            <w:lang w:eastAsia="en-GB"/>
          </w:rPr>
          <w:t>nalysis </w:t>
        </w:r>
      </w:ins>
    </w:p>
    <w:p w14:paraId="1693DF0D" w14:textId="5B5AB5D5"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del w:id="44" w:author="Susan Steinbusch-Coort" w:date="2020-06-22T16:40:00Z">
        <w:r w:rsidRPr="00AB7B0F" w:rsidDel="00C053E4">
          <w:rPr>
            <w:rFonts w:ascii="Times New Roman" w:eastAsia="Times New Roman" w:hAnsi="Times New Roman" w:cs="Times New Roman"/>
            <w:color w:val="000000"/>
            <w:sz w:val="24"/>
            <w:szCs w:val="24"/>
            <w:lang w:eastAsia="en-GB"/>
          </w:rPr>
          <w:delText xml:space="preserve">Analysis </w:delText>
        </w:r>
      </w:del>
      <w:ins w:id="45" w:author="Susan Steinbusch-Coort" w:date="2020-06-22T16:40:00Z">
        <w:r w:rsidR="00C053E4">
          <w:rPr>
            <w:rFonts w:ascii="Times New Roman" w:eastAsia="Times New Roman" w:hAnsi="Times New Roman" w:cs="Times New Roman"/>
            <w:color w:val="000000"/>
            <w:sz w:val="24"/>
            <w:szCs w:val="24"/>
            <w:lang w:eastAsia="en-GB"/>
          </w:rPr>
          <w:t>Pathway a</w:t>
        </w:r>
        <w:r w:rsidR="00C053E4" w:rsidRPr="00AB7B0F">
          <w:rPr>
            <w:rFonts w:ascii="Times New Roman" w:eastAsia="Times New Roman" w:hAnsi="Times New Roman" w:cs="Times New Roman"/>
            <w:color w:val="000000"/>
            <w:sz w:val="24"/>
            <w:szCs w:val="24"/>
            <w:lang w:eastAsia="en-GB"/>
          </w:rPr>
          <w:t xml:space="preserve">nalysis </w:t>
        </w:r>
      </w:ins>
      <w:r w:rsidRPr="00AB7B0F">
        <w:rPr>
          <w:rFonts w:ascii="Times New Roman" w:eastAsia="Times New Roman" w:hAnsi="Times New Roman" w:cs="Times New Roman"/>
          <w:color w:val="000000"/>
          <w:sz w:val="24"/>
          <w:szCs w:val="24"/>
          <w:lang w:eastAsia="en-GB"/>
        </w:rPr>
        <w:t xml:space="preserve">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w:t>
      </w:r>
      <w:ins w:id="46" w:author="Susan Steinbusch-Coort" w:date="2020-06-22T16:40:00Z">
        <w:r w:rsidR="00C053E4">
          <w:rPr>
            <w:rFonts w:ascii="Times New Roman" w:eastAsia="Times New Roman" w:hAnsi="Times New Roman" w:cs="Times New Roman"/>
            <w:color w:val="000000"/>
            <w:sz w:val="24"/>
            <w:szCs w:val="24"/>
            <w:lang w:eastAsia="en-GB"/>
          </w:rPr>
          <w:t xml:space="preserve">curated </w:t>
        </w:r>
      </w:ins>
      <w:r w:rsidRPr="00AB7B0F">
        <w:rPr>
          <w:rFonts w:ascii="Times New Roman" w:eastAsia="Times New Roman" w:hAnsi="Times New Roman" w:cs="Times New Roman"/>
          <w:color w:val="000000"/>
          <w:sz w:val="24"/>
          <w:szCs w:val="24"/>
          <w:lang w:eastAsia="en-GB"/>
        </w:rPr>
        <w:t>human pathways (</w:t>
      </w:r>
      <w:hyperlink r:id="rId36"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xml:space="preserve">). </w:t>
      </w:r>
      <w:commentRangeStart w:id="47"/>
      <w:r w:rsidRPr="00AB7B0F">
        <w:rPr>
          <w:rFonts w:ascii="Times New Roman" w:eastAsia="Times New Roman" w:hAnsi="Times New Roman" w:cs="Times New Roman"/>
          <w:color w:val="000000"/>
          <w:sz w:val="24"/>
          <w:szCs w:val="24"/>
          <w:lang w:eastAsia="en-GB"/>
        </w:rPr>
        <w:t>Statistical analysis involved an overrepresentation analysis of the metabolites and proteins in these pathways and allowed for identification of pathways most significantly altered in the IR condition compared to the IS condition. </w:t>
      </w:r>
      <w:commentRangeEnd w:id="47"/>
      <w:r w:rsidR="00C053E4">
        <w:rPr>
          <w:rStyle w:val="CommentReference"/>
        </w:rPr>
        <w:commentReference w:id="47"/>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7"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1CA37E6A" w:rsidR="00CF4DA2" w:rsidRDefault="00CF4DA2" w:rsidP="00CF4DA2">
      <w:pPr>
        <w:spacing w:line="360" w:lineRule="auto"/>
        <w:jc w:val="both"/>
        <w:rPr>
          <w:rFonts w:ascii="Times New Roman" w:eastAsia="Times New Roman" w:hAnsi="Times New Roman" w:cs="Times New Roman"/>
          <w:sz w:val="24"/>
          <w:szCs w:val="24"/>
          <w:lang w:eastAsia="en-GB"/>
        </w:rPr>
      </w:pPr>
      <w:commentRangeStart w:id="48"/>
      <w:r w:rsidRPr="00AB7B0F">
        <w:rPr>
          <w:rFonts w:ascii="Times New Roman" w:eastAsia="Times New Roman" w:hAnsi="Times New Roman" w:cs="Times New Roman"/>
          <w:color w:val="000000"/>
          <w:sz w:val="24"/>
          <w:szCs w:val="24"/>
          <w:lang w:eastAsia="en-GB"/>
        </w:rPr>
        <w:t>Performing</w:t>
      </w:r>
      <w:del w:id="49" w:author="Susan Steinbusch-Coort" w:date="2020-06-22T16:44:00Z">
        <w:r w:rsidRPr="00AB7B0F" w:rsidDel="00C053E4">
          <w:rPr>
            <w:rFonts w:ascii="Times New Roman" w:eastAsia="Times New Roman" w:hAnsi="Times New Roman" w:cs="Times New Roman"/>
            <w:color w:val="000000"/>
            <w:sz w:val="24"/>
            <w:szCs w:val="24"/>
            <w:lang w:eastAsia="en-GB"/>
          </w:rPr>
          <w:delText xml:space="preserve"> 2</w:delText>
        </w:r>
      </w:del>
      <w:r w:rsidRPr="00AB7B0F">
        <w:rPr>
          <w:rFonts w:ascii="Times New Roman" w:eastAsia="Times New Roman" w:hAnsi="Times New Roman" w:cs="Times New Roman"/>
          <w:color w:val="000000"/>
          <w:sz w:val="24"/>
          <w:szCs w:val="24"/>
          <w:lang w:eastAsia="en-GB"/>
        </w:rPr>
        <w:t xml:space="preserve">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w:t>
      </w:r>
      <w:del w:id="50" w:author="Susan Steinbusch-Coort" w:date="2020-06-22T16:44:00Z">
        <w:r w:rsidRPr="00AB7B0F" w:rsidDel="00C053E4">
          <w:rPr>
            <w:rFonts w:ascii="Times New Roman" w:eastAsia="Times New Roman" w:hAnsi="Times New Roman" w:cs="Times New Roman"/>
            <w:color w:val="000000"/>
            <w:sz w:val="24"/>
            <w:szCs w:val="24"/>
            <w:lang w:eastAsia="en-GB"/>
          </w:rPr>
          <w:delText>changed</w:delText>
        </w:r>
      </w:del>
      <w:ins w:id="51" w:author="Susan Steinbusch-Coort" w:date="2020-06-22T16:44:00Z">
        <w:r w:rsidR="00C053E4">
          <w:rPr>
            <w:rFonts w:ascii="Times New Roman" w:eastAsia="Times New Roman" w:hAnsi="Times New Roman" w:cs="Times New Roman"/>
            <w:color w:val="000000"/>
            <w:sz w:val="24"/>
            <w:szCs w:val="24"/>
            <w:lang w:eastAsia="en-GB"/>
          </w:rPr>
          <w:t>altered based on differences</w:t>
        </w:r>
      </w:ins>
      <w:ins w:id="52" w:author="Susan Steinbusch-Coort" w:date="2020-06-22T16:45:00Z">
        <w:r w:rsidR="00C053E4">
          <w:rPr>
            <w:rFonts w:ascii="Times New Roman" w:eastAsia="Times New Roman" w:hAnsi="Times New Roman" w:cs="Times New Roman"/>
            <w:color w:val="000000"/>
            <w:sz w:val="24"/>
            <w:szCs w:val="24"/>
            <w:lang w:eastAsia="en-GB"/>
          </w:rPr>
          <w:t xml:space="preserve"> protein and metabolite abundances</w:t>
        </w:r>
      </w:ins>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commentRangeEnd w:id="48"/>
      <w:r w:rsidR="00C053E4">
        <w:rPr>
          <w:rStyle w:val="CommentReference"/>
        </w:rPr>
        <w:commentReference w:id="48"/>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5F9F71E1"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significantly altered proteins</w:t>
      </w:r>
      <w:del w:id="53" w:author="Susan Steinbusch-Coort" w:date="2020-06-22T16:49:00Z">
        <w:r w:rsidRPr="00AB7B0F" w:rsidDel="00C053E4">
          <w:rPr>
            <w:rFonts w:ascii="Times New Roman" w:eastAsia="Times New Roman" w:hAnsi="Times New Roman" w:cs="Times New Roman"/>
            <w:color w:val="000000"/>
            <w:sz w:val="24"/>
            <w:szCs w:val="24"/>
            <w:lang w:eastAsia="en-GB"/>
          </w:rPr>
          <w:delText xml:space="preserve"> </w:delText>
        </w:r>
        <w:r w:rsidR="001359F4" w:rsidDel="00C053E4">
          <w:rPr>
            <w:rFonts w:ascii="Times New Roman" w:eastAsia="Times New Roman" w:hAnsi="Times New Roman" w:cs="Times New Roman"/>
            <w:color w:val="000000"/>
            <w:sz w:val="24"/>
            <w:szCs w:val="24"/>
            <w:lang w:eastAsia="en-GB"/>
          </w:rPr>
          <w:delText xml:space="preserve">and </w:delText>
        </w:r>
        <w:r w:rsidR="003A0EB1" w:rsidDel="00C053E4">
          <w:rPr>
            <w:rFonts w:ascii="Times New Roman" w:eastAsia="Times New Roman" w:hAnsi="Times New Roman" w:cs="Times New Roman"/>
            <w:color w:val="000000"/>
            <w:sz w:val="24"/>
            <w:szCs w:val="24"/>
            <w:lang w:eastAsia="en-GB"/>
          </w:rPr>
          <w:delText xml:space="preserve">that may have been </w:delText>
        </w:r>
      </w:del>
      <w:del w:id="54" w:author="Susan Steinbusch-Coort" w:date="2020-06-22T16:48:00Z">
        <w:r w:rsidR="003A0EB1" w:rsidDel="00C053E4">
          <w:rPr>
            <w:rFonts w:ascii="Times New Roman" w:eastAsia="Times New Roman" w:hAnsi="Times New Roman" w:cs="Times New Roman"/>
            <w:color w:val="000000"/>
            <w:sz w:val="24"/>
            <w:szCs w:val="24"/>
            <w:lang w:eastAsia="en-GB"/>
          </w:rPr>
          <w:delText xml:space="preserve">lost </w:delText>
        </w:r>
      </w:del>
      <w:del w:id="55" w:author="Susan Steinbusch-Coort" w:date="2020-06-22T16:49:00Z">
        <w:r w:rsidR="003A0EB1" w:rsidDel="00C053E4">
          <w:rPr>
            <w:rFonts w:ascii="Times New Roman" w:eastAsia="Times New Roman" w:hAnsi="Times New Roman" w:cs="Times New Roman"/>
            <w:color w:val="000000"/>
            <w:sz w:val="24"/>
            <w:szCs w:val="24"/>
            <w:lang w:eastAsia="en-GB"/>
          </w:rPr>
          <w:delText>by the overrepresentation analysis</w:delText>
        </w:r>
      </w:del>
      <w:ins w:id="56" w:author="Susan Steinbusch-Coort" w:date="2020-06-22T16:49:00Z">
        <w:r w:rsidR="00C053E4">
          <w:rPr>
            <w:rFonts w:ascii="Times New Roman" w:eastAsia="Times New Roman" w:hAnsi="Times New Roman" w:cs="Times New Roman"/>
            <w:color w:val="000000"/>
            <w:sz w:val="24"/>
            <w:szCs w:val="24"/>
            <w:lang w:eastAsia="en-GB"/>
          </w:rPr>
          <w:t xml:space="preserve"> </w:t>
        </w:r>
      </w:ins>
      <w:del w:id="57" w:author="Susan Steinbusch-Coort" w:date="2020-06-22T16:49:00Z">
        <w:r w:rsidRPr="00AB7B0F" w:rsidDel="00C053E4">
          <w:rPr>
            <w:rFonts w:ascii="Times New Roman" w:eastAsia="Times New Roman" w:hAnsi="Times New Roman" w:cs="Times New Roman"/>
            <w:color w:val="000000"/>
            <w:sz w:val="24"/>
            <w:szCs w:val="24"/>
            <w:lang w:eastAsia="en-GB"/>
          </w:rPr>
          <w:delText xml:space="preserve">, </w:delText>
        </w:r>
      </w:del>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8"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w:t>
      </w:r>
      <w:del w:id="58" w:author="Susan Steinbusch-Coort" w:date="2020-06-22T16:49:00Z">
        <w:r w:rsidR="00AF483F" w:rsidDel="00C053E4">
          <w:rPr>
            <w:rFonts w:ascii="Times New Roman" w:eastAsia="Times New Roman" w:hAnsi="Times New Roman" w:cs="Times New Roman"/>
            <w:color w:val="000000"/>
            <w:sz w:val="24"/>
            <w:szCs w:val="24"/>
            <w:lang w:eastAsia="en-GB"/>
          </w:rPr>
          <w:delText>executed</w:delText>
        </w:r>
      </w:del>
      <w:ins w:id="59" w:author="Susan Steinbusch-Coort" w:date="2020-06-22T16:49:00Z">
        <w:r w:rsidR="00C053E4">
          <w:rPr>
            <w:rFonts w:ascii="Times New Roman" w:eastAsia="Times New Roman" w:hAnsi="Times New Roman" w:cs="Times New Roman"/>
            <w:color w:val="000000"/>
            <w:sz w:val="24"/>
            <w:szCs w:val="24"/>
            <w:lang w:eastAsia="en-GB"/>
          </w:rPr>
          <w:t>performed</w:t>
        </w:r>
      </w:ins>
      <w:r w:rsidRPr="00AB7B0F">
        <w:rPr>
          <w:rFonts w:ascii="Times New Roman" w:eastAsia="Times New Roman" w:hAnsi="Times New Roman" w:cs="Times New Roman"/>
          <w:color w:val="000000"/>
          <w:sz w:val="24"/>
          <w:szCs w:val="24"/>
          <w:lang w:eastAsia="en-GB"/>
        </w:rPr>
        <w:t xml:space="preserve">. This was done by </w:t>
      </w:r>
      <w:commentRangeStart w:id="60"/>
      <w:r w:rsidRPr="00AB7B0F">
        <w:rPr>
          <w:rFonts w:ascii="Times New Roman" w:eastAsia="Times New Roman" w:hAnsi="Times New Roman" w:cs="Times New Roman"/>
          <w:color w:val="000000"/>
          <w:sz w:val="24"/>
          <w:szCs w:val="24"/>
          <w:lang w:eastAsia="en-GB"/>
        </w:rPr>
        <w:t xml:space="preserve">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commentRangeEnd w:id="60"/>
      <w:r w:rsidR="00C053E4">
        <w:rPr>
          <w:rStyle w:val="CommentReference"/>
        </w:rPr>
        <w:commentReference w:id="60"/>
      </w:r>
      <w:r w:rsidRPr="00AB7B0F">
        <w:rPr>
          <w:rFonts w:ascii="Times New Roman" w:eastAsia="Times New Roman" w:hAnsi="Times New Roman" w:cs="Times New Roman"/>
          <w:color w:val="000000"/>
          <w:sz w:val="24"/>
          <w:szCs w:val="24"/>
          <w:lang w:eastAsia="en-GB"/>
        </w:rPr>
        <w:t>stringApp (</w:t>
      </w:r>
      <w:hyperlink r:id="rId39" w:history="1">
        <w:r>
          <w:rPr>
            <w:rStyle w:val="Hyperlink"/>
          </w:rPr>
          <w:t>https://pubs.acs.org/doi/abs/10.1021/acs.jproteome.8b00702?casa_token=USD2zPrA-5QAAAAA%3AYyafljBu-Nc16fPtSZTe6iUPJs-9Osr3IunM7yHnmRqfAMPsnYE-</w:t>
        </w:r>
        <w:r>
          <w:rPr>
            <w:rStyle w:val="Hyperlink"/>
          </w:rPr>
          <w:lastRenderedPageBreak/>
          <w:t>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w:t>
      </w:r>
      <w:del w:id="61" w:author="Susan Steinbusch-Coort" w:date="2020-06-22T16:47:00Z">
        <w:r w:rsidRPr="00AB7B0F" w:rsidDel="00C053E4">
          <w:rPr>
            <w:rFonts w:ascii="Times New Roman" w:eastAsia="Times New Roman" w:hAnsi="Times New Roman" w:cs="Times New Roman"/>
            <w:color w:val="000000"/>
            <w:sz w:val="24"/>
            <w:szCs w:val="24"/>
            <w:lang w:eastAsia="en-GB"/>
          </w:rPr>
          <w:delText>to include the corresponding altered biological pathways by applying the</w:delText>
        </w:r>
      </w:del>
      <w:ins w:id="62" w:author="Susan Steinbusch-Coort" w:date="2020-06-22T16:47:00Z">
        <w:r w:rsidR="00C053E4">
          <w:rPr>
            <w:rFonts w:ascii="Times New Roman" w:eastAsia="Times New Roman" w:hAnsi="Times New Roman" w:cs="Times New Roman"/>
            <w:color w:val="000000"/>
            <w:sz w:val="24"/>
            <w:szCs w:val="24"/>
            <w:lang w:eastAsia="en-GB"/>
          </w:rPr>
          <w:t xml:space="preserve">with protein-pathway interactions using the </w:t>
        </w:r>
      </w:ins>
      <w:r w:rsidRPr="00AB7B0F">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link</w:t>
      </w:r>
      <w:del w:id="63" w:author="Susan Steinbusch-Coort" w:date="2020-06-22T16:47:00Z">
        <w:r w:rsidRPr="00AB7B0F" w:rsidDel="00C053E4">
          <w:rPr>
            <w:rFonts w:ascii="Times New Roman" w:eastAsia="Times New Roman" w:hAnsi="Times New Roman" w:cs="Times New Roman"/>
            <w:color w:val="000000"/>
            <w:sz w:val="24"/>
            <w:szCs w:val="24"/>
            <w:lang w:eastAsia="en-GB"/>
          </w:rPr>
          <w:delText xml:space="preserve"> </w:delText>
        </w:r>
      </w:del>
      <w:r w:rsidRPr="00AB7B0F">
        <w:rPr>
          <w:rFonts w:ascii="Times New Roman" w:eastAsia="Times New Roman" w:hAnsi="Times New Roman" w:cs="Times New Roman"/>
          <w:color w:val="000000"/>
          <w:sz w:val="24"/>
          <w:szCs w:val="24"/>
          <w:lang w:eastAsia="en-GB"/>
        </w:rPr>
        <w:t>set</w:t>
      </w:r>
      <w:proofErr w:type="spellEnd"/>
      <w:r w:rsidRPr="00AB7B0F">
        <w:rPr>
          <w:rFonts w:ascii="Times New Roman" w:eastAsia="Times New Roman" w:hAnsi="Times New Roman" w:cs="Times New Roman"/>
          <w:color w:val="000000"/>
          <w:sz w:val="24"/>
          <w:szCs w:val="24"/>
          <w:lang w:eastAsia="en-GB"/>
        </w:rPr>
        <w:t xml:space="preserve"> </w:t>
      </w:r>
      <w:ins w:id="64" w:author="Susan Steinbusch-Coort" w:date="2020-06-22T16:47:00Z">
        <w:r w:rsidR="00C053E4">
          <w:rPr>
            <w:rFonts w:ascii="Times New Roman" w:eastAsia="Times New Roman" w:hAnsi="Times New Roman" w:cs="Times New Roman"/>
            <w:color w:val="000000"/>
            <w:sz w:val="24"/>
            <w:szCs w:val="24"/>
            <w:lang w:eastAsia="en-GB"/>
          </w:rPr>
          <w:t xml:space="preserve">in the </w:t>
        </w:r>
      </w:ins>
      <w:del w:id="65" w:author="Susan Steinbusch-Coort" w:date="2020-06-22T16:47:00Z">
        <w:r w:rsidRPr="00AB7B0F" w:rsidDel="00C053E4">
          <w:rPr>
            <w:rFonts w:ascii="Times New Roman" w:eastAsia="Times New Roman" w:hAnsi="Times New Roman" w:cs="Times New Roman"/>
            <w:color w:val="000000"/>
            <w:sz w:val="24"/>
            <w:szCs w:val="24"/>
            <w:lang w:eastAsia="en-GB"/>
          </w:rPr>
          <w:delText xml:space="preserve">using </w:delText>
        </w:r>
      </w:del>
      <w:ins w:id="66" w:author="Susan Steinbusch-Coort" w:date="2020-06-22T16:47:00Z">
        <w:r w:rsidR="00C053E4">
          <w:rPr>
            <w:rFonts w:ascii="Times New Roman" w:eastAsia="Times New Roman" w:hAnsi="Times New Roman" w:cs="Times New Roman"/>
            <w:color w:val="000000"/>
            <w:sz w:val="24"/>
            <w:szCs w:val="24"/>
            <w:lang w:eastAsia="en-GB"/>
          </w:rPr>
          <w:t xml:space="preserve">Cytoscape </w:t>
        </w:r>
      </w:ins>
      <w:proofErr w:type="spellStart"/>
      <w:r w:rsidRPr="00AB7B0F">
        <w:rPr>
          <w:rFonts w:ascii="Times New Roman" w:eastAsia="Times New Roman" w:hAnsi="Times New Roman" w:cs="Times New Roman"/>
          <w:color w:val="000000"/>
          <w:sz w:val="24"/>
          <w:szCs w:val="24"/>
          <w:lang w:eastAsia="en-GB"/>
        </w:rPr>
        <w:t>CyTargetLinker</w:t>
      </w:r>
      <w:proofErr w:type="spellEnd"/>
      <w:ins w:id="67" w:author="Susan Steinbusch-Coort" w:date="2020-06-22T16:47:00Z">
        <w:r w:rsidR="00C053E4">
          <w:rPr>
            <w:rFonts w:ascii="Times New Roman" w:eastAsia="Times New Roman" w:hAnsi="Times New Roman" w:cs="Times New Roman"/>
            <w:color w:val="000000"/>
            <w:sz w:val="24"/>
            <w:szCs w:val="24"/>
            <w:lang w:eastAsia="en-GB"/>
          </w:rPr>
          <w:t xml:space="preserve"> app</w:t>
        </w:r>
      </w:ins>
      <w:r w:rsidRPr="00AB7B0F">
        <w:rPr>
          <w:rFonts w:ascii="Times New Roman" w:eastAsia="Times New Roman" w:hAnsi="Times New Roman" w:cs="Times New Roman"/>
          <w:color w:val="000000"/>
          <w:sz w:val="24"/>
          <w:szCs w:val="24"/>
          <w:lang w:eastAsia="en-GB"/>
        </w:rPr>
        <w:t xml:space="preserve"> (</w:t>
      </w:r>
      <w:hyperlink r:id="rId40"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68"/>
      <w:commentRangeStart w:id="69"/>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68"/>
      <w:r w:rsidR="000164DC">
        <w:rPr>
          <w:rStyle w:val="CommentReference"/>
        </w:rPr>
        <w:commentReference w:id="68"/>
      </w:r>
      <w:commentRangeEnd w:id="69"/>
      <w:r w:rsidR="008D2E71">
        <w:rPr>
          <w:rStyle w:val="CommentReference"/>
        </w:rPr>
        <w:commentReference w:id="69"/>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336C7C65"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w:t>
      </w:r>
      <w:del w:id="70" w:author="Susan Steinbusch-Coort" w:date="2020-06-22T18:08:00Z">
        <w:r w:rsidR="006C5EBA" w:rsidDel="00570746">
          <w:rPr>
            <w:rFonts w:ascii="Times New Roman" w:hAnsi="Times New Roman" w:cs="Times New Roman"/>
            <w:color w:val="000000"/>
            <w:sz w:val="24"/>
            <w:szCs w:val="24"/>
          </w:rPr>
          <w:delText>aforementioned PCA</w:delText>
        </w:r>
      </w:del>
      <w:ins w:id="71" w:author="Susan Steinbusch-Coort" w:date="2020-06-22T18:08:00Z">
        <w:r w:rsidR="00570746">
          <w:rPr>
            <w:rFonts w:ascii="Times New Roman" w:hAnsi="Times New Roman" w:cs="Times New Roman"/>
            <w:color w:val="000000"/>
            <w:sz w:val="24"/>
            <w:szCs w:val="24"/>
          </w:rPr>
          <w:t>PCA</w:t>
        </w:r>
      </w:ins>
      <w:r w:rsidR="006C5EBA">
        <w:rPr>
          <w:rFonts w:ascii="Times New Roman" w:hAnsi="Times New Roman" w:cs="Times New Roman"/>
          <w:color w:val="000000"/>
          <w:sz w:val="24"/>
          <w:szCs w:val="24"/>
        </w:rPr>
        <w:t xml:space="preserve">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being included</w:t>
      </w:r>
      <w:ins w:id="72" w:author="Susan Steinbusch-Coort" w:date="2020-06-22T18:09:00Z">
        <w:r w:rsidR="00570746">
          <w:rPr>
            <w:rFonts w:ascii="Times New Roman" w:hAnsi="Times New Roman" w:cs="Times New Roman"/>
            <w:color w:val="000000"/>
            <w:sz w:val="24"/>
            <w:szCs w:val="24"/>
          </w:rPr>
          <w:t>, as explained before</w:t>
        </w:r>
      </w:ins>
      <w:r w:rsidR="0092080B">
        <w:rPr>
          <w:rFonts w:ascii="Times New Roman" w:hAnsi="Times New Roman" w:cs="Times New Roman"/>
          <w:color w:val="000000"/>
          <w:sz w:val="24"/>
          <w:szCs w:val="24"/>
        </w:rPr>
        <w:t xml:space="preserve">.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w:t>
      </w:r>
      <w:del w:id="73" w:author="Susan Steinbusch-Coort" w:date="2020-06-22T18:09:00Z">
        <w:r w:rsidR="00952CFD" w:rsidDel="00570746">
          <w:rPr>
            <w:rFonts w:ascii="Times New Roman" w:hAnsi="Times New Roman" w:cs="Times New Roman"/>
            <w:color w:val="000000"/>
            <w:sz w:val="24"/>
            <w:szCs w:val="24"/>
          </w:rPr>
          <w:delText xml:space="preserve">more </w:delText>
        </w:r>
        <w:r w:rsidR="008E1A68" w:rsidDel="00570746">
          <w:rPr>
            <w:rFonts w:ascii="Times New Roman" w:hAnsi="Times New Roman" w:cs="Times New Roman"/>
            <w:color w:val="000000"/>
            <w:sz w:val="24"/>
            <w:szCs w:val="24"/>
          </w:rPr>
          <w:delText>sound</w:delText>
        </w:r>
      </w:del>
      <w:ins w:id="74" w:author="Susan Steinbusch-Coort" w:date="2020-06-22T18:09:00Z">
        <w:r w:rsidR="00570746">
          <w:rPr>
            <w:rFonts w:ascii="Times New Roman" w:hAnsi="Times New Roman" w:cs="Times New Roman"/>
            <w:color w:val="000000"/>
            <w:sz w:val="24"/>
            <w:szCs w:val="24"/>
          </w:rPr>
          <w:t>sounder</w:t>
        </w:r>
      </w:ins>
      <w:r w:rsidR="008E1A68">
        <w:rPr>
          <w:rFonts w:ascii="Times New Roman" w:hAnsi="Times New Roman" w:cs="Times New Roman"/>
          <w:color w:val="000000"/>
          <w:sz w:val="24"/>
          <w:szCs w:val="24"/>
        </w:rPr>
        <w:t xml:space="preserve">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1C31F180"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 xml:space="preserve">he filtered </w:t>
      </w:r>
      <w:proofErr w:type="spellStart"/>
      <w:r w:rsidR="002D1094" w:rsidRPr="00AB7B0F">
        <w:rPr>
          <w:rFonts w:ascii="Times New Roman" w:hAnsi="Times New Roman" w:cs="Times New Roman"/>
          <w:color w:val="000000"/>
          <w:sz w:val="24"/>
          <w:szCs w:val="24"/>
        </w:rPr>
        <w:t>phyloseq</w:t>
      </w:r>
      <w:proofErr w:type="spellEnd"/>
      <w:r w:rsidR="002D1094" w:rsidRPr="00AB7B0F">
        <w:rPr>
          <w:rFonts w:ascii="Times New Roman" w:hAnsi="Times New Roman" w:cs="Times New Roman"/>
          <w:color w:val="000000"/>
          <w:sz w:val="24"/>
          <w:szCs w:val="24"/>
        </w:rPr>
        <w:t xml:space="preserve">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w:t>
      </w:r>
      <w:ins w:id="75" w:author="Susan Steinbusch-Coort" w:date="2020-06-22T18:10:00Z">
        <w:r w:rsidR="00570746">
          <w:rPr>
            <w:rFonts w:ascii="Times New Roman" w:hAnsi="Times New Roman" w:cs="Times New Roman"/>
            <w:color w:val="000000"/>
            <w:sz w:val="24"/>
            <w:szCs w:val="24"/>
          </w:rPr>
          <w:t xml:space="preserve"> (</w:t>
        </w:r>
        <w:proofErr w:type="spellStart"/>
        <w:r w:rsidR="00570746">
          <w:rPr>
            <w:rFonts w:ascii="Times New Roman" w:hAnsi="Times New Roman" w:cs="Times New Roman"/>
            <w:color w:val="000000"/>
            <w:sz w:val="24"/>
            <w:szCs w:val="24"/>
          </w:rPr>
          <w:t>penalyzed</w:t>
        </w:r>
        <w:proofErr w:type="spellEnd"/>
        <w:r w:rsidR="00570746">
          <w:rPr>
            <w:rFonts w:ascii="Times New Roman" w:hAnsi="Times New Roman" w:cs="Times New Roman"/>
            <w:color w:val="000000"/>
            <w:sz w:val="24"/>
            <w:szCs w:val="24"/>
          </w:rPr>
          <w:t xml:space="preserve"> multivariate analysis)</w:t>
        </w:r>
      </w:ins>
      <w:r w:rsidR="002D1094" w:rsidRPr="00AB7B0F">
        <w:rPr>
          <w:rFonts w:ascii="Times New Roman" w:hAnsi="Times New Roman" w:cs="Times New Roman"/>
          <w:color w:val="000000"/>
          <w:sz w:val="24"/>
          <w:szCs w:val="24"/>
        </w:rPr>
        <w:t xml:space="preserve">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 xml:space="preserve">Daniela Witten and Rob </w:t>
      </w:r>
      <w:proofErr w:type="spellStart"/>
      <w:r w:rsidR="002D1094" w:rsidRPr="00DD02AB">
        <w:rPr>
          <w:rStyle w:val="gd15mcfceub"/>
          <w:rFonts w:ascii="Times New Roman" w:hAnsi="Times New Roman" w:cs="Times New Roman"/>
          <w:sz w:val="24"/>
          <w:szCs w:val="24"/>
          <w:bdr w:val="none" w:sz="0" w:space="0" w:color="auto" w:frame="1"/>
        </w:rPr>
        <w:t>Tibshirani</w:t>
      </w:r>
      <w:proofErr w:type="spellEnd"/>
      <w:r w:rsidR="002D1094"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Heading2"/>
        <w:spacing w:before="0" w:beforeAutospacing="0" w:after="160" w:afterAutospacing="0"/>
        <w:jc w:val="both"/>
        <w:rPr>
          <w:b w:val="0"/>
          <w:bCs w:val="0"/>
          <w:sz w:val="24"/>
          <w:szCs w:val="24"/>
        </w:rPr>
      </w:pPr>
      <w:r>
        <w:rPr>
          <w:sz w:val="24"/>
          <w:szCs w:val="24"/>
          <w:u w:val="single"/>
        </w:rPr>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 xml:space="preserve">From the pre-processing of the subject datafile, 60 subjects remained of which 32 were IR and 28 were IS. The corresponding subject IDs were used to filter the proteome and metabolome data for the DAs, combined pathway analysis and network analysis. </w:t>
      </w:r>
      <w:commentRangeStart w:id="76"/>
      <w:commentRangeStart w:id="77"/>
      <w:r>
        <w:rPr>
          <w:rFonts w:ascii="Times New Roman" w:eastAsia="Times New Roman" w:hAnsi="Times New Roman" w:cs="Times New Roman"/>
          <w:color w:val="000000"/>
          <w:sz w:val="24"/>
          <w:szCs w:val="24"/>
          <w:lang w:eastAsia="en-GB"/>
        </w:rPr>
        <w:t xml:space="preserve">This resulted in 686 samples (316 IR and 370 IS) being included in the proteome data and 726 samples (425 IR and 302 IS) in the metabolome data. </w:t>
      </w:r>
      <w:commentRangeEnd w:id="76"/>
      <w:r w:rsidR="00570746">
        <w:rPr>
          <w:rStyle w:val="CommentReference"/>
        </w:rPr>
        <w:commentReference w:id="76"/>
      </w:r>
      <w:commentRangeEnd w:id="77"/>
      <w:r w:rsidR="00701BED">
        <w:rPr>
          <w:rStyle w:val="CommentReference"/>
        </w:rPr>
        <w:commentReference w:id="77"/>
      </w:r>
      <w:r>
        <w:rPr>
          <w:rFonts w:ascii="Times New Roman" w:eastAsia="Times New Roman" w:hAnsi="Times New Roman" w:cs="Times New Roman"/>
          <w:color w:val="000000"/>
          <w:sz w:val="24"/>
          <w:szCs w:val="24"/>
          <w:lang w:eastAsia="en-GB"/>
        </w:rPr>
        <w:t>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This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w:t>
      </w:r>
      <w:proofErr w:type="spellStart"/>
      <w:r>
        <w:rPr>
          <w:rFonts w:ascii="Times New Roman" w:eastAsia="Times New Roman" w:hAnsi="Times New Roman" w:cs="Times New Roman"/>
          <w:i/>
          <w:iCs/>
          <w:color w:val="000000"/>
          <w:sz w:val="24"/>
          <w:szCs w:val="24"/>
          <w:lang w:eastAsia="en-GB"/>
        </w:rPr>
        <w:t>PCoA</w:t>
      </w:r>
      <w:proofErr w:type="spellEnd"/>
      <w:r>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w:t>
      </w:r>
      <w:del w:id="78"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C) and Proteobacteria (Figure 4</w:t>
      </w:r>
      <w:del w:id="79"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D) both being slightly less abundant and the Actinobacteria (Figure 4</w:t>
      </w:r>
      <w:del w:id="80"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Pr>
          <w:rFonts w:ascii="Times New Roman" w:eastAsia="Times New Roman" w:hAnsi="Times New Roman" w:cs="Times New Roman"/>
          <w:color w:val="000000"/>
          <w:sz w:val="24"/>
          <w:szCs w:val="24"/>
          <w:lang w:eastAsia="en-GB"/>
        </w:rPr>
        <w:t>Verrucomicrobia</w:t>
      </w:r>
      <w:proofErr w:type="spellEnd"/>
      <w:r>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42B0D0B1"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w:t>
      </w:r>
      <w:del w:id="81" w:author="Susan Steinbusch-Coort" w:date="2020-06-22T18:14:00Z">
        <w:r w:rsidDel="00570746">
          <w:rPr>
            <w:rFonts w:ascii="Times New Roman" w:eastAsia="Times New Roman" w:hAnsi="Times New Roman" w:cs="Times New Roman"/>
            <w:color w:val="000000"/>
            <w:sz w:val="24"/>
            <w:szCs w:val="24"/>
            <w:lang w:eastAsia="en-GB"/>
          </w:rPr>
          <w:delText xml:space="preserve">try </w:delText>
        </w:r>
      </w:del>
      <w:del w:id="82" w:author="Susan Steinbusch-Coort" w:date="2020-06-22T18:13:00Z">
        <w:r w:rsidDel="00570746">
          <w:rPr>
            <w:rFonts w:ascii="Times New Roman" w:eastAsia="Times New Roman" w:hAnsi="Times New Roman" w:cs="Times New Roman"/>
            <w:color w:val="000000"/>
            <w:sz w:val="24"/>
            <w:szCs w:val="24"/>
            <w:lang w:eastAsia="en-GB"/>
          </w:rPr>
          <w:delText>identify</w:delText>
        </w:r>
      </w:del>
      <w:ins w:id="83" w:author="Susan Steinbusch-Coort" w:date="2020-06-22T18:14:00Z">
        <w:r w:rsidR="00570746">
          <w:rPr>
            <w:rFonts w:ascii="Times New Roman" w:eastAsia="Times New Roman" w:hAnsi="Times New Roman" w:cs="Times New Roman"/>
            <w:color w:val="000000"/>
            <w:sz w:val="24"/>
            <w:szCs w:val="24"/>
            <w:lang w:eastAsia="en-GB"/>
          </w:rPr>
          <w:t>identify</w:t>
        </w:r>
      </w:ins>
      <w:r>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Consistent with the Bacteroidetes mean abundance being lower in the IR group (Figure 4</w:t>
      </w:r>
      <w:del w:id="84" w:author="Susan Steinbusch-Coort" w:date="2020-06-22T18:14: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w:t>
      </w:r>
      <w:del w:id="85" w:author="Susan Steinbusch-Coort" w:date="2020-06-22T18:15: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 xml:space="preserve">C). </w:t>
      </w:r>
    </w:p>
    <w:p w14:paraId="25BE47D3" w14:textId="6FFB6442" w:rsidR="008716E4" w:rsidRDefault="008716E4" w:rsidP="008716E4">
      <w:pPr>
        <w:spacing w:after="0" w:line="360" w:lineRule="auto"/>
        <w:jc w:val="both"/>
        <w:rPr>
          <w:rFonts w:ascii="Times New Roman" w:eastAsia="Times New Roman" w:hAnsi="Times New Roman" w:cs="Times New Roman"/>
          <w:sz w:val="24"/>
          <w:szCs w:val="24"/>
          <w:lang w:eastAsia="en-GB"/>
        </w:rPr>
      </w:pPr>
      <w:del w:id="86" w:author="Susan Steinbusch-Coort" w:date="2020-06-22T18:15:00Z">
        <w:r w:rsidDel="00570746">
          <w:rPr>
            <w:rFonts w:ascii="Times New Roman" w:eastAsia="Times New Roman" w:hAnsi="Times New Roman" w:cs="Times New Roman"/>
            <w:color w:val="000000"/>
            <w:sz w:val="24"/>
            <w:szCs w:val="24"/>
            <w:lang w:eastAsia="en-GB"/>
          </w:rPr>
          <w:lastRenderedPageBreak/>
          <w:delText xml:space="preserve">3 </w:delText>
        </w:r>
      </w:del>
      <w:ins w:id="87" w:author="Susan Steinbusch-Coort" w:date="2020-06-22T18:15:00Z">
        <w:r w:rsidR="00570746">
          <w:rPr>
            <w:rFonts w:ascii="Times New Roman" w:eastAsia="Times New Roman" w:hAnsi="Times New Roman" w:cs="Times New Roman"/>
            <w:color w:val="000000"/>
            <w:sz w:val="24"/>
            <w:szCs w:val="24"/>
            <w:lang w:eastAsia="en-GB"/>
          </w:rPr>
          <w:t xml:space="preserve">Three </w:t>
        </w:r>
      </w:ins>
      <w:r>
        <w:rPr>
          <w:rFonts w:ascii="Times New Roman" w:eastAsia="Times New Roman" w:hAnsi="Times New Roman" w:cs="Times New Roman"/>
          <w:color w:val="000000"/>
          <w:sz w:val="24"/>
          <w:szCs w:val="24"/>
          <w:lang w:eastAsia="en-GB"/>
        </w:rPr>
        <w:t xml:space="preserve">of the 10 microbes more abundant in IR and none of those less abundant in IR were Ruminococcus. On the other hand, 2 out of the 10 microbes less abundant in IR and none of those more abundant in IR were </w:t>
      </w:r>
      <w:proofErr w:type="spellStart"/>
      <w:r>
        <w:rPr>
          <w:rFonts w:ascii="Times New Roman" w:eastAsia="Times New Roman" w:hAnsi="Times New Roman" w:cs="Times New Roman"/>
          <w:color w:val="000000"/>
          <w:sz w:val="24"/>
          <w:szCs w:val="24"/>
          <w:lang w:eastAsia="en-GB"/>
        </w:rPr>
        <w:t>Lachnospira</w:t>
      </w:r>
      <w:proofErr w:type="spellEnd"/>
      <w:r>
        <w:rPr>
          <w:rFonts w:ascii="Times New Roman" w:eastAsia="Times New Roman" w:hAnsi="Times New Roman" w:cs="Times New Roman"/>
          <w:color w:val="000000"/>
          <w:sz w:val="24"/>
          <w:szCs w:val="24"/>
          <w:lang w:eastAsia="en-GB"/>
        </w:rPr>
        <w:t>.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6178BF9B"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5: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&lt; 0) and 19 more abundant in the IR condition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w:t>
      </w:r>
      <w:commentRangeStart w:id="88"/>
      <w:r w:rsidR="008716E4">
        <w:rPr>
          <w:rFonts w:ascii="Times New Roman" w:eastAsia="Times New Roman" w:hAnsi="Times New Roman" w:cs="Times New Roman"/>
          <w:color w:val="000000"/>
          <w:sz w:val="24"/>
          <w:szCs w:val="24"/>
          <w:lang w:eastAsia="en-GB"/>
        </w:rPr>
        <w:t xml:space="preserve">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0.05 or &lt; -0.05</w:t>
      </w:r>
      <w:commentRangeEnd w:id="88"/>
      <w:r w:rsidR="00236CB4">
        <w:rPr>
          <w:rStyle w:val="CommentReference"/>
        </w:rPr>
        <w:commentReference w:id="88"/>
      </w:r>
      <w:r w:rsidR="008716E4">
        <w:rPr>
          <w:rFonts w:ascii="Times New Roman" w:eastAsia="Times New Roman" w:hAnsi="Times New Roman" w:cs="Times New Roman"/>
          <w:color w:val="000000"/>
          <w:sz w:val="24"/>
          <w:szCs w:val="24"/>
          <w:lang w:eastAsia="en-GB"/>
        </w:rPr>
        <w:t xml:space="preserve">, 9 out of the 21 less abundant metabolites and 3 out of the 19 more abundant metabolites were sufficiently changed (Table 1). </w:t>
      </w:r>
      <w:commentRangeStart w:id="89"/>
      <w:r w:rsidR="008716E4">
        <w:rPr>
          <w:rFonts w:ascii="Times New Roman" w:eastAsia="Times New Roman" w:hAnsi="Times New Roman" w:cs="Times New Roman"/>
          <w:color w:val="000000"/>
          <w:sz w:val="24"/>
          <w:szCs w:val="24"/>
          <w:lang w:eastAsia="en-GB"/>
        </w:rPr>
        <w:t>11</w:t>
      </w:r>
      <w:commentRangeEnd w:id="89"/>
      <w:r w:rsidR="00236CB4">
        <w:rPr>
          <w:rStyle w:val="CommentReference"/>
        </w:rPr>
        <w:commentReference w:id="89"/>
      </w:r>
      <w:r w:rsidR="008716E4">
        <w:rPr>
          <w:rFonts w:ascii="Times New Roman" w:eastAsia="Times New Roman" w:hAnsi="Times New Roman" w:cs="Times New Roman"/>
          <w:color w:val="000000"/>
          <w:sz w:val="24"/>
          <w:szCs w:val="24"/>
          <w:lang w:eastAsia="en-GB"/>
        </w:rPr>
        <w:t xml:space="preserve"> of these 12 sufficiently changed metabolites were lipids/lipid-like molecules with the only exception being glutaric acid. 7 metabolites possessed a significant adjusted p-value with 5 also having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suggesting a sufficient change in abundance (Table 1). </w:t>
      </w:r>
      <w:commentRangeStart w:id="90"/>
      <w:commentRangeStart w:id="91"/>
      <w:commentRangeStart w:id="92"/>
      <w:commentRangeStart w:id="93"/>
      <w:r w:rsidR="008716E4">
        <w:rPr>
          <w:rFonts w:ascii="Times New Roman" w:eastAsia="Times New Roman" w:hAnsi="Times New Roman" w:cs="Times New Roman"/>
          <w:color w:val="ED7D31" w:themeColor="accent2"/>
          <w:sz w:val="24"/>
          <w:szCs w:val="24"/>
          <w:lang w:eastAsia="en-GB"/>
        </w:rPr>
        <w:t xml:space="preserve">The remaining 2 metabolites with a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-0.327) and </w:t>
      </w:r>
      <w:proofErr w:type="spellStart"/>
      <w:r w:rsidR="008716E4">
        <w:rPr>
          <w:rFonts w:ascii="Times New Roman" w:hAnsi="Times New Roman" w:cs="Times New Roman"/>
          <w:color w:val="ED7D31" w:themeColor="accent2"/>
          <w:sz w:val="24"/>
          <w:szCs w:val="24"/>
          <w:shd w:val="clear" w:color="auto" w:fill="FFFFFF"/>
        </w:rPr>
        <w:t>hexanoylcarnitine</w:t>
      </w:r>
      <w:proofErr w:type="spellEnd"/>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0.212)</w:t>
      </w:r>
      <w:commentRangeEnd w:id="90"/>
      <w:r w:rsidR="008716E4">
        <w:rPr>
          <w:rStyle w:val="CommentReference"/>
        </w:rPr>
        <w:commentReference w:id="90"/>
      </w:r>
      <w:commentRangeEnd w:id="91"/>
      <w:r w:rsidR="00A4746A">
        <w:rPr>
          <w:rStyle w:val="CommentReference"/>
        </w:rPr>
        <w:commentReference w:id="91"/>
      </w:r>
      <w:r w:rsidR="008716E4">
        <w:rPr>
          <w:rFonts w:ascii="Times New Roman" w:eastAsia="Times New Roman" w:hAnsi="Times New Roman" w:cs="Times New Roman"/>
          <w:color w:val="000000"/>
          <w:sz w:val="24"/>
          <w:szCs w:val="24"/>
          <w:lang w:eastAsia="en-GB"/>
        </w:rPr>
        <w:t>. </w:t>
      </w:r>
      <w:commentRangeEnd w:id="92"/>
      <w:r w:rsidR="00236CB4">
        <w:rPr>
          <w:rStyle w:val="CommentReference"/>
        </w:rPr>
        <w:commentReference w:id="92"/>
      </w:r>
      <w:commentRangeEnd w:id="93"/>
      <w:r w:rsidR="00BD4E70">
        <w:rPr>
          <w:rStyle w:val="CommentReference"/>
        </w:rPr>
        <w:commentReference w:id="93"/>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lastRenderedPageBreak/>
        <w:t>Table 1: table specifying the sufficiently less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(0:0/22:6(4Z,7Z,10Z,13Z,16Z,19Z))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(0:0/16:0)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(0:0/20:3(11Z,14Z,17Z))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LysoPC</w:t>
            </w:r>
            <w:proofErr w:type="spellEnd"/>
            <w:r>
              <w:rPr>
                <w:rFonts w:ascii="Times New Roman" w:eastAsia="Times New Roman" w:hAnsi="Times New Roman" w:cs="Times New Roman"/>
                <w:color w:val="000000"/>
                <w:sz w:val="24"/>
                <w:szCs w:val="24"/>
                <w:lang w:eastAsia="en-GB"/>
              </w:rPr>
              <w:t>(20:0/0:0)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All listed 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proofErr w:type="spellStart"/>
      <w:r w:rsidR="00001B10">
        <w:rPr>
          <w:rFonts w:ascii="Times New Roman" w:eastAsia="Times New Roman" w:hAnsi="Times New Roman" w:cs="Times New Roman"/>
          <w:i/>
          <w:iCs/>
          <w:color w:val="000000"/>
          <w:sz w:val="24"/>
          <w:szCs w:val="24"/>
          <w:lang w:eastAsia="en-GB"/>
        </w:rPr>
        <w:t>logFC</w:t>
      </w:r>
      <w:proofErr w:type="spellEnd"/>
      <w:r w:rsidR="00001B10">
        <w:rPr>
          <w:rFonts w:ascii="Times New Roman" w:eastAsia="Times New Roman" w:hAnsi="Times New Roman" w:cs="Times New Roman"/>
          <w:i/>
          <w:iCs/>
          <w:color w:val="000000"/>
          <w:sz w:val="24"/>
          <w:szCs w:val="24"/>
          <w:lang w:eastAsia="en-GB"/>
        </w:rPr>
        <w:t xml:space="preserve">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proteome of IR and IS subjects</w:t>
      </w:r>
    </w:p>
    <w:p w14:paraId="29914B32" w14:textId="206BB2C1"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w:t>
      </w:r>
      <w:proofErr w:type="spellStart"/>
      <w:r>
        <w:rPr>
          <w:rFonts w:ascii="Times New Roman" w:eastAsia="Times New Roman" w:hAnsi="Times New Roman" w:cs="Times New Roman"/>
          <w:color w:val="000000"/>
          <w:sz w:val="24"/>
          <w:szCs w:val="24"/>
          <w:lang w:eastAsia="en-GB"/>
        </w:rPr>
        <w:t>limma</w:t>
      </w:r>
      <w:proofErr w:type="spellEnd"/>
      <w:r>
        <w:rPr>
          <w:rFonts w:ascii="Times New Roman" w:eastAsia="Times New Roman" w:hAnsi="Times New Roman" w:cs="Times New Roman"/>
          <w:color w:val="000000"/>
          <w:sz w:val="24"/>
          <w:szCs w:val="24"/>
          <w:lang w:eastAsia="en-GB"/>
        </w:rPr>
        <w:t xml:space="preserve">, 23 proteins were </w:t>
      </w:r>
      <w:del w:id="94" w:author="Susan Steinbusch-Coort" w:date="2020-06-22T18:26:00Z">
        <w:r w:rsidDel="00236CB4">
          <w:rPr>
            <w:rFonts w:ascii="Times New Roman" w:eastAsia="Times New Roman" w:hAnsi="Times New Roman" w:cs="Times New Roman"/>
            <w:color w:val="000000"/>
            <w:sz w:val="24"/>
            <w:szCs w:val="24"/>
            <w:lang w:eastAsia="en-GB"/>
          </w:rPr>
          <w:delText xml:space="preserve">deemed to be </w:delText>
        </w:r>
      </w:del>
      <w:r>
        <w:rPr>
          <w:rFonts w:ascii="Times New Roman" w:eastAsia="Times New Roman" w:hAnsi="Times New Roman" w:cs="Times New Roman"/>
          <w:color w:val="000000"/>
          <w:sz w:val="24"/>
          <w:szCs w:val="24"/>
          <w:lang w:eastAsia="en-GB"/>
        </w:rPr>
        <w:t>significantly altered in the IR condition compared to the IS condition based on p-value</w:t>
      </w:r>
      <w:ins w:id="95" w:author="Susan Steinbusch-Coort" w:date="2020-06-22T18:26:00Z">
        <w:r w:rsidR="00236CB4">
          <w:rPr>
            <w:rFonts w:ascii="Times New Roman" w:eastAsia="Times New Roman" w:hAnsi="Times New Roman" w:cs="Times New Roman"/>
            <w:color w:val="000000"/>
            <w:sz w:val="24"/>
            <w:szCs w:val="24"/>
            <w:lang w:eastAsia="en-GB"/>
          </w:rPr>
          <w:t xml:space="preserve"> &lt;0.05</w:t>
        </w:r>
      </w:ins>
      <w:r>
        <w:rPr>
          <w:rFonts w:ascii="Times New Roman" w:eastAsia="Times New Roman" w:hAnsi="Times New Roman" w:cs="Times New Roman"/>
          <w:color w:val="000000"/>
          <w:sz w:val="24"/>
          <w:szCs w:val="24"/>
          <w:lang w:eastAsia="en-GB"/>
        </w:rPr>
        <w:t>. 13 of these proteins were more abundant in the IR subjects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 and 10, less abundant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 xml:space="preserve">When a sufficient change was deemed to be a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0.50 or &lt; -0.50, 3 of the significantly altered proteins remained: LPA and SHBG were both less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0.624). Despite these proteins having significant p-values, it should be noted that none possessed a significant adjusted p-value.</w:t>
      </w:r>
    </w:p>
    <w:p w14:paraId="573C5979" w14:textId="6F083976"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w:t>
      </w:r>
    </w:p>
    <w:p w14:paraId="01A2F556" w14:textId="1387C884"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Out of all the 323 metabolites and 302 proteins </w:t>
      </w:r>
      <w:del w:id="96" w:author="Susan Steinbusch-Coort" w:date="2020-06-22T18:28:00Z">
        <w:r w:rsidDel="00236CB4">
          <w:rPr>
            <w:rFonts w:ascii="Times New Roman" w:eastAsia="Times New Roman" w:hAnsi="Times New Roman" w:cs="Times New Roman"/>
            <w:color w:val="000000"/>
            <w:sz w:val="24"/>
            <w:szCs w:val="24"/>
            <w:lang w:eastAsia="en-GB"/>
          </w:rPr>
          <w:delText>run through</w:delText>
        </w:r>
      </w:del>
      <w:ins w:id="97" w:author="Susan Steinbusch-Coort" w:date="2020-06-22T18:28:00Z">
        <w:r w:rsidR="00236CB4">
          <w:rPr>
            <w:rFonts w:ascii="Times New Roman" w:eastAsia="Times New Roman" w:hAnsi="Times New Roman" w:cs="Times New Roman"/>
            <w:color w:val="000000"/>
            <w:sz w:val="24"/>
            <w:szCs w:val="24"/>
            <w:lang w:eastAsia="en-GB"/>
          </w:rPr>
          <w:t xml:space="preserve"> analysed in </w:t>
        </w:r>
      </w:ins>
      <w:del w:id="98" w:author="Susan Steinbusch-Coort" w:date="2020-06-22T18:28:00Z">
        <w:r w:rsidDel="00236CB4">
          <w:rPr>
            <w:rFonts w:ascii="Times New Roman" w:eastAsia="Times New Roman" w:hAnsi="Times New Roman" w:cs="Times New Roman"/>
            <w:color w:val="000000"/>
            <w:sz w:val="24"/>
            <w:szCs w:val="24"/>
            <w:lang w:eastAsia="en-GB"/>
          </w:rPr>
          <w:delText xml:space="preserve"> </w:delText>
        </w:r>
      </w:del>
      <w:r>
        <w:rPr>
          <w:rFonts w:ascii="Times New Roman" w:eastAsia="Times New Roman" w:hAnsi="Times New Roman" w:cs="Times New Roman"/>
          <w:color w:val="000000"/>
          <w:sz w:val="24"/>
          <w:szCs w:val="24"/>
          <w:lang w:eastAsia="en-GB"/>
        </w:rPr>
        <w:t xml:space="preserve">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w:t>
      </w:r>
      <w:del w:id="99" w:author="Susan Steinbusch-Coort" w:date="2020-06-22T18:29:00Z">
        <w:r w:rsidDel="00236CB4">
          <w:rPr>
            <w:rFonts w:ascii="Times New Roman" w:eastAsia="Times New Roman" w:hAnsi="Times New Roman" w:cs="Times New Roman"/>
            <w:color w:val="000000"/>
            <w:sz w:val="24"/>
            <w:szCs w:val="24"/>
            <w:lang w:eastAsia="en-GB"/>
          </w:rPr>
          <w:delText>criteria</w:delText>
        </w:r>
      </w:del>
      <w:ins w:id="100" w:author="Susan Steinbusch-Coort" w:date="2020-06-22T18:29:00Z">
        <w:r w:rsidR="00236CB4">
          <w:rPr>
            <w:rFonts w:ascii="Times New Roman" w:eastAsia="Times New Roman" w:hAnsi="Times New Roman" w:cs="Times New Roman"/>
            <w:color w:val="000000"/>
            <w:sz w:val="24"/>
            <w:szCs w:val="24"/>
            <w:lang w:eastAsia="en-GB"/>
          </w:rPr>
          <w:t>criteria,</w:t>
        </w:r>
      </w:ins>
      <w:r>
        <w:rPr>
          <w:rFonts w:ascii="Times New Roman" w:eastAsia="Times New Roman" w:hAnsi="Times New Roman" w:cs="Times New Roman"/>
          <w:color w:val="000000"/>
          <w:sz w:val="24"/>
          <w:szCs w:val="24"/>
          <w:lang w:eastAsia="en-GB"/>
        </w:rPr>
        <w:t xml:space="preserve"> but none contained both proteins and metabolites </w:t>
      </w:r>
      <w:del w:id="101" w:author="Susan Steinbusch-Coort" w:date="2020-06-22T18:29:00Z">
        <w:r w:rsidDel="00236CB4">
          <w:rPr>
            <w:rFonts w:ascii="Times New Roman" w:eastAsia="Times New Roman" w:hAnsi="Times New Roman" w:cs="Times New Roman"/>
            <w:color w:val="000000"/>
            <w:sz w:val="24"/>
            <w:szCs w:val="24"/>
            <w:lang w:eastAsia="en-GB"/>
          </w:rPr>
          <w:delText xml:space="preserve">with a p &lt; 0.05 </w:delText>
        </w:r>
      </w:del>
      <w:r>
        <w:rPr>
          <w:rFonts w:ascii="Times New Roman" w:eastAsia="Times New Roman" w:hAnsi="Times New Roman" w:cs="Times New Roman"/>
          <w:color w:val="000000"/>
          <w:sz w:val="24"/>
          <w:szCs w:val="24"/>
          <w:lang w:eastAsia="en-GB"/>
        </w:rPr>
        <w:t>(Table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w:t>
            </w:r>
            <w:proofErr w:type="spellStart"/>
            <w:r w:rsidRPr="007C21A5">
              <w:rPr>
                <w:rFonts w:ascii="Times New Roman" w:eastAsia="Times New Roman" w:hAnsi="Times New Roman" w:cs="Times New Roman"/>
                <w:color w:val="000000"/>
                <w:sz w:val="24"/>
                <w:szCs w:val="24"/>
                <w:lang w:eastAsia="en-GB"/>
              </w:rPr>
              <w:t>ChE</w:t>
            </w:r>
            <w:proofErr w:type="spellEnd"/>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IL-1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commentRangeStart w:id="102"/>
            <w:r w:rsidRPr="007C21A5">
              <w:rPr>
                <w:rFonts w:ascii="Times New Roman" w:eastAsia="Times New Roman" w:hAnsi="Times New Roman" w:cs="Times New Roman"/>
                <w:color w:val="000000"/>
                <w:sz w:val="24"/>
                <w:szCs w:val="24"/>
                <w:lang w:eastAsia="en-GB"/>
              </w:rPr>
              <w:t>↓ IL1RAP (CHECK)</w:t>
            </w:r>
            <w:commentRangeEnd w:id="102"/>
            <w:r w:rsidR="0020533F">
              <w:rPr>
                <w:rStyle w:val="CommentReference"/>
              </w:rPr>
              <w:commentReference w:id="102"/>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8E5CDA8"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Oligodendrocyte Specification and </w:t>
            </w:r>
            <w:del w:id="103" w:author="Susan Steinbusch-Coort" w:date="2020-06-22T18:33:00Z">
              <w:r w:rsidRPr="007C21A5" w:rsidDel="0020533F">
                <w:rPr>
                  <w:rFonts w:ascii="Times New Roman" w:eastAsia="Times New Roman" w:hAnsi="Times New Roman" w:cs="Times New Roman"/>
                  <w:color w:val="000000"/>
                  <w:sz w:val="24"/>
                  <w:szCs w:val="24"/>
                  <w:lang w:eastAsia="en-GB"/>
                </w:rPr>
                <w:delText>differentiation(</w:delText>
              </w:r>
            </w:del>
            <w:ins w:id="104" w:author="Susan Steinbusch-Coort" w:date="2020-06-22T18:33:00Z">
              <w:r w:rsidR="0020533F" w:rsidRPr="007C21A5">
                <w:rPr>
                  <w:rFonts w:ascii="Times New Roman" w:eastAsia="Times New Roman" w:hAnsi="Times New Roman" w:cs="Times New Roman"/>
                  <w:color w:val="000000"/>
                  <w:sz w:val="24"/>
                  <w:szCs w:val="24"/>
                  <w:lang w:eastAsia="en-GB"/>
                </w:rPr>
                <w:t>differentiation (</w:t>
              </w:r>
            </w:ins>
            <w:r w:rsidRPr="007C21A5">
              <w:rPr>
                <w:rFonts w:ascii="Times New Roman" w:eastAsia="Times New Roman" w:hAnsi="Times New Roman" w:cs="Times New Roman"/>
                <w:color w:val="000000"/>
                <w:sz w:val="24"/>
                <w:szCs w:val="24"/>
                <w:lang w:eastAsia="en-GB"/>
              </w:rPr>
              <w:t>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proofErr w:type="spellStart"/>
            <w:r w:rsidRPr="007C21A5">
              <w:rPr>
                <w:rFonts w:ascii="Times New Roman" w:eastAsia="Times New Roman" w:hAnsi="Times New Roman" w:cs="Times New Roman"/>
                <w:color w:val="000000"/>
                <w:sz w:val="24"/>
                <w:szCs w:val="24"/>
                <w:lang w:eastAsia="en-GB"/>
              </w:rPr>
              <w:t>Phosphodiesterases</w:t>
            </w:r>
            <w:proofErr w:type="spellEnd"/>
            <w:r w:rsidRPr="007C21A5">
              <w:rPr>
                <w:rFonts w:ascii="Times New Roman" w:eastAsia="Times New Roman" w:hAnsi="Times New Roman" w:cs="Times New Roman"/>
                <w:color w:val="000000"/>
                <w:sz w:val="24"/>
                <w:szCs w:val="24"/>
                <w:lang w:eastAsia="en-GB"/>
              </w:rPr>
              <w:t xml:space="preserve">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shd w:val="clear" w:color="auto" w:fill="FFFFFF"/>
                <w:lang w:eastAsia="en-GB"/>
              </w:rPr>
              <w:t>Sphinganine</w:t>
            </w:r>
            <w:proofErr w:type="spellEnd"/>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lastRenderedPageBreak/>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Vitamin D-sensitive calcium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lang w:eastAsia="en-GB"/>
              </w:rPr>
              <w:t>LysoPC</w:t>
            </w:r>
            <w:proofErr w:type="spellEnd"/>
            <w:r w:rsidRPr="007C21A5">
              <w:rPr>
                <w:rFonts w:ascii="Times New Roman" w:eastAsia="Times New Roman" w:hAnsi="Times New Roman" w:cs="Times New Roman"/>
                <w:color w:val="000000"/>
                <w:sz w:val="24"/>
                <w:szCs w:val="24"/>
                <w:lang w:eastAsia="en-GB"/>
              </w:rPr>
              <w:t>(20:0/0:0)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329BB1C6"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 xml:space="preserve">The common name for each metabolite is given </w:t>
      </w:r>
      <w:r w:rsidR="006A0A13">
        <w:rPr>
          <w:rFonts w:ascii="Times New Roman" w:eastAsia="Times New Roman" w:hAnsi="Times New Roman" w:cs="Times New Roman"/>
          <w:i/>
          <w:iCs/>
          <w:color w:val="000000"/>
          <w:sz w:val="24"/>
          <w:szCs w:val="24"/>
          <w:lang w:eastAsia="en-GB"/>
        </w:rPr>
        <w:t xml:space="preserve">and </w:t>
      </w:r>
      <w:r>
        <w:rPr>
          <w:rFonts w:ascii="Times New Roman" w:eastAsia="Times New Roman" w:hAnsi="Times New Roman" w:cs="Times New Roman"/>
          <w:i/>
          <w:iCs/>
          <w:color w:val="000000"/>
          <w:sz w:val="24"/>
          <w:szCs w:val="24"/>
          <w:lang w:eastAsia="en-GB"/>
        </w:rPr>
        <w:t>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 xml:space="preserve">from the combined pathway analysis using </w:t>
      </w:r>
      <w:proofErr w:type="spellStart"/>
      <w:r>
        <w:rPr>
          <w:rFonts w:ascii="Times New Roman" w:eastAsia="Times New Roman" w:hAnsi="Times New Roman" w:cs="Times New Roman"/>
          <w:i/>
          <w:iCs/>
          <w:color w:val="000000"/>
          <w:sz w:val="24"/>
          <w:szCs w:val="24"/>
          <w:lang w:eastAsia="en-GB"/>
        </w:rPr>
        <w:t>MetaboAnalyst</w:t>
      </w:r>
      <w:proofErr w:type="spellEnd"/>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Sphinganine</w:t>
            </w:r>
            <w:proofErr w:type="spellEnd"/>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7273BEC"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w:t>
      </w:r>
      <w:del w:id="105" w:author="Susan Steinbusch-Coort" w:date="2020-06-22T18:34:00Z">
        <w:r w:rsidDel="0020533F">
          <w:rPr>
            <w:rFonts w:ascii="Times New Roman" w:eastAsia="Times New Roman" w:hAnsi="Times New Roman" w:cs="Times New Roman"/>
            <w:color w:val="000000"/>
            <w:sz w:val="24"/>
            <w:szCs w:val="24"/>
            <w:lang w:eastAsia="en-GB"/>
          </w:rPr>
          <w:delText>Both of these</w:delText>
        </w:r>
      </w:del>
      <w:ins w:id="106" w:author="Susan Steinbusch-Coort" w:date="2020-06-22T18:34:00Z">
        <w:r w:rsidR="0020533F">
          <w:rPr>
            <w:rFonts w:ascii="Times New Roman" w:eastAsia="Times New Roman" w:hAnsi="Times New Roman" w:cs="Times New Roman"/>
            <w:color w:val="000000"/>
            <w:sz w:val="24"/>
            <w:szCs w:val="24"/>
            <w:lang w:eastAsia="en-GB"/>
          </w:rPr>
          <w:t>Both</w:t>
        </w:r>
      </w:ins>
      <w:r>
        <w:rPr>
          <w:rFonts w:ascii="Times New Roman" w:eastAsia="Times New Roman" w:hAnsi="Times New Roman" w:cs="Times New Roman"/>
          <w:color w:val="000000"/>
          <w:sz w:val="24"/>
          <w:szCs w:val="24"/>
          <w:lang w:eastAsia="en-GB"/>
        </w:rPr>
        <w:t xml:space="preserv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more abundant in the IR condition compared to the IS condition (</w:t>
      </w:r>
      <w:proofErr w:type="spellStart"/>
      <w:r w:rsidR="00AE6607">
        <w:rPr>
          <w:rFonts w:ascii="Times New Roman" w:eastAsia="Times New Roman" w:hAnsi="Times New Roman" w:cs="Times New Roman"/>
          <w:color w:val="000000"/>
          <w:sz w:val="24"/>
          <w:szCs w:val="24"/>
          <w:lang w:eastAsia="en-GB"/>
        </w:rPr>
        <w:t>logFC</w:t>
      </w:r>
      <w:proofErr w:type="spellEnd"/>
      <w:r w:rsidR="00AE6607">
        <w:rPr>
          <w:rFonts w:ascii="Times New Roman" w:eastAsia="Times New Roman" w:hAnsi="Times New Roman" w:cs="Times New Roman"/>
          <w:color w:val="000000"/>
          <w:sz w:val="24"/>
          <w:szCs w:val="24"/>
          <w:lang w:eastAsia="en-GB"/>
        </w:rPr>
        <w:t xml:space="preserve">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proofErr w:type="spellStart"/>
      <w:r w:rsidR="00722B83">
        <w:rPr>
          <w:rFonts w:ascii="Times New Roman" w:eastAsia="Times New Roman" w:hAnsi="Times New Roman" w:cs="Times New Roman"/>
          <w:color w:val="000000"/>
          <w:sz w:val="24"/>
          <w:szCs w:val="24"/>
          <w:lang w:eastAsia="en-GB"/>
        </w:rPr>
        <w:t>wich</w:t>
      </w:r>
      <w:proofErr w:type="spellEnd"/>
      <w:r w:rsidR="00722B83">
        <w:rPr>
          <w:rFonts w:ascii="Times New Roman" w:eastAsia="Times New Roman" w:hAnsi="Times New Roman" w:cs="Times New Roman"/>
          <w:color w:val="000000"/>
          <w:sz w:val="24"/>
          <w:szCs w:val="24"/>
          <w:lang w:eastAsia="en-GB"/>
        </w:rPr>
        <w:t xml:space="preserve"> were less abundant in the IR condition (</w:t>
      </w:r>
      <w:proofErr w:type="spellStart"/>
      <w:r w:rsidR="00722B83">
        <w:rPr>
          <w:rFonts w:ascii="Times New Roman" w:eastAsia="Times New Roman" w:hAnsi="Times New Roman" w:cs="Times New Roman"/>
          <w:color w:val="000000"/>
          <w:sz w:val="24"/>
          <w:szCs w:val="24"/>
          <w:lang w:eastAsia="en-GB"/>
        </w:rPr>
        <w:t>logFC</w:t>
      </w:r>
      <w:proofErr w:type="spellEnd"/>
      <w:r w:rsidR="00722B83">
        <w:rPr>
          <w:rFonts w:ascii="Times New Roman" w:eastAsia="Times New Roman" w:hAnsi="Times New Roman" w:cs="Times New Roman"/>
          <w:color w:val="000000"/>
          <w:sz w:val="24"/>
          <w:szCs w:val="24"/>
          <w:lang w:eastAsia="en-GB"/>
        </w:rPr>
        <w:t xml:space="preserve">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 xml:space="preserve">microbes were Firmicutes. This coincides with the absolute phylum abundances in each sample since a large proportion of all samples contained microbes belonging to the Firmicutes phylum (Figure 3). 6 of the 13 Firmicutes were </w:t>
      </w:r>
      <w:proofErr w:type="spellStart"/>
      <w:r>
        <w:rPr>
          <w:rFonts w:ascii="Times New Roman" w:eastAsia="Times New Roman" w:hAnsi="Times New Roman" w:cs="Times New Roman"/>
          <w:color w:val="000000"/>
          <w:sz w:val="24"/>
          <w:szCs w:val="24"/>
          <w:lang w:eastAsia="en-GB"/>
        </w:rPr>
        <w:t>Faecalibacterium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prausnitzii</w:t>
      </w:r>
      <w:proofErr w:type="spellEnd"/>
      <w:r>
        <w:rPr>
          <w:rFonts w:ascii="Times New Roman" w:eastAsia="Times New Roman" w:hAnsi="Times New Roman" w:cs="Times New Roman"/>
          <w:color w:val="000000"/>
          <w:sz w:val="24"/>
          <w:szCs w:val="24"/>
          <w:lang w:eastAsia="en-GB"/>
        </w:rPr>
        <w:t xml:space="preserve">, 3 were </w:t>
      </w:r>
      <w:proofErr w:type="spellStart"/>
      <w:r>
        <w:rPr>
          <w:rFonts w:ascii="Times New Roman" w:eastAsia="Times New Roman" w:hAnsi="Times New Roman" w:cs="Times New Roman"/>
          <w:color w:val="000000"/>
          <w:sz w:val="24"/>
          <w:szCs w:val="24"/>
          <w:lang w:eastAsia="en-GB"/>
        </w:rPr>
        <w:t>Oscillospira</w:t>
      </w:r>
      <w:proofErr w:type="spellEnd"/>
      <w:r>
        <w:rPr>
          <w:rFonts w:ascii="Times New Roman" w:eastAsia="Times New Roman" w:hAnsi="Times New Roman" w:cs="Times New Roman"/>
          <w:color w:val="000000"/>
          <w:sz w:val="24"/>
          <w:szCs w:val="24"/>
          <w:lang w:eastAsia="en-GB"/>
        </w:rPr>
        <w:t xml:space="preserve"> and 2 </w:t>
      </w:r>
      <w:proofErr w:type="spellStart"/>
      <w:r>
        <w:rPr>
          <w:rFonts w:ascii="Times New Roman" w:eastAsia="Times New Roman" w:hAnsi="Times New Roman" w:cs="Times New Roman"/>
          <w:color w:val="000000"/>
          <w:sz w:val="24"/>
          <w:szCs w:val="24"/>
          <w:lang w:eastAsia="en-GB"/>
        </w:rPr>
        <w:t>Coprococcus</w:t>
      </w:r>
      <w:proofErr w:type="spellEnd"/>
      <w:r>
        <w:rPr>
          <w:rFonts w:ascii="Times New Roman" w:eastAsia="Times New Roman" w:hAnsi="Times New Roman" w:cs="Times New Roman"/>
          <w:color w:val="000000"/>
          <w:sz w:val="24"/>
          <w:szCs w:val="24"/>
          <w:lang w:eastAsia="en-GB"/>
        </w:rPr>
        <w:t xml:space="preserve">, with the remaining 2 taxa being </w:t>
      </w:r>
      <w:proofErr w:type="spellStart"/>
      <w:r>
        <w:rPr>
          <w:rFonts w:ascii="Times New Roman" w:eastAsia="Times New Roman" w:hAnsi="Times New Roman" w:cs="Times New Roman"/>
          <w:color w:val="000000"/>
          <w:sz w:val="24"/>
          <w:szCs w:val="24"/>
          <w:lang w:eastAsia="en-GB"/>
        </w:rPr>
        <w:t>Dorea</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Blautia</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producta</w:t>
      </w:r>
      <w:proofErr w:type="spellEnd"/>
      <w:r>
        <w:rPr>
          <w:rFonts w:ascii="Times New Roman" w:eastAsia="Times New Roman" w:hAnsi="Times New Roman" w:cs="Times New Roman"/>
          <w:color w:val="000000"/>
          <w:sz w:val="24"/>
          <w:szCs w:val="24"/>
          <w:lang w:eastAsia="en-GB"/>
        </w:rPr>
        <w:t>.</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Heading2"/>
        <w:jc w:val="both"/>
        <w:rPr>
          <w:sz w:val="24"/>
          <w:szCs w:val="24"/>
          <w:u w:val="single"/>
        </w:rPr>
      </w:pPr>
      <w:r>
        <w:rPr>
          <w:sz w:val="24"/>
          <w:szCs w:val="24"/>
          <w:u w:val="single"/>
        </w:rPr>
        <w:lastRenderedPageBreak/>
        <w:t>Appendix</w:t>
      </w:r>
    </w:p>
    <w:p w14:paraId="10031E5C" w14:textId="73B84CF9" w:rsidR="00226E3C"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commentRangeStart w:id="107"/>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commentRangeEnd w:id="107"/>
      <w:r w:rsidR="0020533F">
        <w:rPr>
          <w:rStyle w:val="CommentReference"/>
        </w:rPr>
        <w:commentReference w:id="107"/>
      </w:r>
    </w:p>
    <w:p w14:paraId="02768569" w14:textId="4C83E8F3" w:rsidR="00172257"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Heading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Heading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Heading3"/>
        <w:rPr>
          <w:rFonts w:ascii="Times New Roman" w:hAnsi="Times New Roman" w:cs="Times New Roman"/>
          <w:color w:val="auto"/>
        </w:rPr>
      </w:pPr>
      <w:r>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2F30F8">
        <w:trPr>
          <w:trHeight w:val="290"/>
        </w:trPr>
        <w:tc>
          <w:tcPr>
            <w:tcW w:w="5949" w:type="dxa"/>
            <w:shd w:val="clear" w:color="auto" w:fill="auto"/>
            <w:noWrap/>
            <w:vAlign w:val="bottom"/>
            <w:hideMark/>
          </w:tcPr>
          <w:p w14:paraId="0F73C1CF" w14:textId="77777777" w:rsidR="00927A13" w:rsidRPr="00B12074"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993" w:type="dxa"/>
            <w:shd w:val="clear" w:color="auto" w:fill="auto"/>
            <w:noWrap/>
            <w:vAlign w:val="bottom"/>
            <w:hideMark/>
          </w:tcPr>
          <w:p w14:paraId="0E141B62"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2F30F8">
        <w:trPr>
          <w:trHeight w:val="290"/>
        </w:trPr>
        <w:tc>
          <w:tcPr>
            <w:tcW w:w="5949" w:type="dxa"/>
            <w:shd w:val="clear" w:color="auto" w:fill="auto"/>
            <w:noWrap/>
            <w:vAlign w:val="bottom"/>
            <w:hideMark/>
          </w:tcPr>
          <w:p w14:paraId="5C7447B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2F30F8">
        <w:trPr>
          <w:trHeight w:val="290"/>
        </w:trPr>
        <w:tc>
          <w:tcPr>
            <w:tcW w:w="5949" w:type="dxa"/>
            <w:shd w:val="clear" w:color="auto" w:fill="auto"/>
            <w:noWrap/>
            <w:vAlign w:val="bottom"/>
            <w:hideMark/>
          </w:tcPr>
          <w:p w14:paraId="064B964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(0:0/22:6(4Z,7Z,10Z,13Z,16Z,19Z))</w:t>
            </w:r>
          </w:p>
        </w:tc>
        <w:tc>
          <w:tcPr>
            <w:tcW w:w="850" w:type="dxa"/>
            <w:shd w:val="clear" w:color="auto" w:fill="auto"/>
            <w:noWrap/>
            <w:vAlign w:val="bottom"/>
            <w:hideMark/>
          </w:tcPr>
          <w:p w14:paraId="0A40899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2F30F8">
        <w:trPr>
          <w:trHeight w:val="290"/>
        </w:trPr>
        <w:tc>
          <w:tcPr>
            <w:tcW w:w="5949" w:type="dxa"/>
            <w:shd w:val="clear" w:color="auto" w:fill="auto"/>
            <w:noWrap/>
            <w:vAlign w:val="bottom"/>
            <w:hideMark/>
          </w:tcPr>
          <w:p w14:paraId="5136683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Hexanoylcarnitine</w:t>
            </w:r>
            <w:proofErr w:type="spellEnd"/>
          </w:p>
        </w:tc>
        <w:tc>
          <w:tcPr>
            <w:tcW w:w="850" w:type="dxa"/>
            <w:shd w:val="clear" w:color="auto" w:fill="auto"/>
            <w:noWrap/>
            <w:vAlign w:val="bottom"/>
            <w:hideMark/>
          </w:tcPr>
          <w:p w14:paraId="14026F0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2F30F8">
        <w:trPr>
          <w:trHeight w:val="290"/>
        </w:trPr>
        <w:tc>
          <w:tcPr>
            <w:tcW w:w="5949" w:type="dxa"/>
            <w:shd w:val="clear" w:color="auto" w:fill="auto"/>
            <w:noWrap/>
            <w:vAlign w:val="bottom"/>
            <w:hideMark/>
          </w:tcPr>
          <w:p w14:paraId="16CDD53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2F30F8">
        <w:trPr>
          <w:trHeight w:val="290"/>
        </w:trPr>
        <w:tc>
          <w:tcPr>
            <w:tcW w:w="5949" w:type="dxa"/>
            <w:shd w:val="clear" w:color="auto" w:fill="auto"/>
            <w:noWrap/>
            <w:vAlign w:val="bottom"/>
            <w:hideMark/>
          </w:tcPr>
          <w:p w14:paraId="0EF44BA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 xml:space="preserve">Androsterone </w:t>
            </w:r>
            <w:proofErr w:type="spellStart"/>
            <w:r w:rsidRPr="00A82423">
              <w:rPr>
                <w:rFonts w:ascii="Times New Roman" w:hAnsi="Times New Roman" w:cs="Times New Roman"/>
                <w:color w:val="333333"/>
                <w:sz w:val="24"/>
                <w:szCs w:val="24"/>
                <w:shd w:val="clear" w:color="auto" w:fill="FFFFFF"/>
              </w:rPr>
              <w:t>sulfate</w:t>
            </w:r>
            <w:proofErr w:type="spellEnd"/>
          </w:p>
        </w:tc>
        <w:tc>
          <w:tcPr>
            <w:tcW w:w="850" w:type="dxa"/>
            <w:shd w:val="clear" w:color="auto" w:fill="auto"/>
            <w:noWrap/>
            <w:vAlign w:val="bottom"/>
            <w:hideMark/>
          </w:tcPr>
          <w:p w14:paraId="418DEAA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2F30F8">
        <w:trPr>
          <w:trHeight w:val="290"/>
        </w:trPr>
        <w:tc>
          <w:tcPr>
            <w:tcW w:w="5949" w:type="dxa"/>
            <w:shd w:val="clear" w:color="auto" w:fill="auto"/>
            <w:noWrap/>
            <w:vAlign w:val="bottom"/>
            <w:hideMark/>
          </w:tcPr>
          <w:p w14:paraId="1919C5E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2F30F8">
        <w:trPr>
          <w:trHeight w:val="290"/>
        </w:trPr>
        <w:tc>
          <w:tcPr>
            <w:tcW w:w="5949" w:type="dxa"/>
            <w:shd w:val="clear" w:color="auto" w:fill="auto"/>
            <w:noWrap/>
            <w:vAlign w:val="bottom"/>
            <w:hideMark/>
          </w:tcPr>
          <w:p w14:paraId="0B14F4B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(P-16:0/0:0)</w:t>
            </w:r>
          </w:p>
        </w:tc>
        <w:tc>
          <w:tcPr>
            <w:tcW w:w="850" w:type="dxa"/>
            <w:shd w:val="clear" w:color="auto" w:fill="auto"/>
            <w:noWrap/>
            <w:vAlign w:val="bottom"/>
            <w:hideMark/>
          </w:tcPr>
          <w:p w14:paraId="472456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2F30F8">
        <w:trPr>
          <w:trHeight w:val="290"/>
        </w:trPr>
        <w:tc>
          <w:tcPr>
            <w:tcW w:w="5949" w:type="dxa"/>
            <w:shd w:val="clear" w:color="auto" w:fill="auto"/>
            <w:noWrap/>
            <w:vAlign w:val="bottom"/>
            <w:hideMark/>
          </w:tcPr>
          <w:p w14:paraId="25BEDA0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2F30F8">
        <w:trPr>
          <w:trHeight w:val="290"/>
        </w:trPr>
        <w:tc>
          <w:tcPr>
            <w:tcW w:w="5949" w:type="dxa"/>
            <w:shd w:val="clear" w:color="auto" w:fill="auto"/>
            <w:noWrap/>
            <w:vAlign w:val="bottom"/>
            <w:hideMark/>
          </w:tcPr>
          <w:p w14:paraId="043CEE8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2F30F8">
        <w:trPr>
          <w:trHeight w:val="290"/>
        </w:trPr>
        <w:tc>
          <w:tcPr>
            <w:tcW w:w="5949" w:type="dxa"/>
            <w:shd w:val="clear" w:color="auto" w:fill="auto"/>
            <w:noWrap/>
            <w:vAlign w:val="bottom"/>
            <w:hideMark/>
          </w:tcPr>
          <w:p w14:paraId="182B23B2"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2F30F8">
        <w:trPr>
          <w:trHeight w:val="290"/>
        </w:trPr>
        <w:tc>
          <w:tcPr>
            <w:tcW w:w="5949" w:type="dxa"/>
            <w:shd w:val="clear" w:color="auto" w:fill="auto"/>
            <w:noWrap/>
            <w:vAlign w:val="bottom"/>
            <w:hideMark/>
          </w:tcPr>
          <w:p w14:paraId="4E17764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(0:0/16:1(9Z))</w:t>
            </w:r>
          </w:p>
        </w:tc>
        <w:tc>
          <w:tcPr>
            <w:tcW w:w="850" w:type="dxa"/>
            <w:shd w:val="clear" w:color="auto" w:fill="auto"/>
            <w:noWrap/>
            <w:vAlign w:val="bottom"/>
            <w:hideMark/>
          </w:tcPr>
          <w:p w14:paraId="79F60CE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2F30F8">
        <w:trPr>
          <w:trHeight w:val="290"/>
        </w:trPr>
        <w:tc>
          <w:tcPr>
            <w:tcW w:w="5949" w:type="dxa"/>
            <w:shd w:val="clear" w:color="auto" w:fill="auto"/>
            <w:noWrap/>
            <w:vAlign w:val="bottom"/>
            <w:hideMark/>
          </w:tcPr>
          <w:p w14:paraId="1D756CA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(20:4(5Z,8Z,11Z,14Z))</w:t>
            </w:r>
          </w:p>
        </w:tc>
        <w:tc>
          <w:tcPr>
            <w:tcW w:w="850" w:type="dxa"/>
            <w:shd w:val="clear" w:color="auto" w:fill="auto"/>
            <w:noWrap/>
            <w:vAlign w:val="bottom"/>
            <w:hideMark/>
          </w:tcPr>
          <w:p w14:paraId="7CE83AB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2F30F8">
        <w:trPr>
          <w:trHeight w:val="290"/>
        </w:trPr>
        <w:tc>
          <w:tcPr>
            <w:tcW w:w="5949" w:type="dxa"/>
            <w:shd w:val="clear" w:color="auto" w:fill="auto"/>
            <w:noWrap/>
            <w:vAlign w:val="bottom"/>
            <w:hideMark/>
          </w:tcPr>
          <w:p w14:paraId="4791726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(0:0/20:3(11Z,14Z,17Z))</w:t>
            </w:r>
          </w:p>
        </w:tc>
        <w:tc>
          <w:tcPr>
            <w:tcW w:w="850" w:type="dxa"/>
            <w:shd w:val="clear" w:color="auto" w:fill="auto"/>
            <w:noWrap/>
            <w:vAlign w:val="bottom"/>
            <w:hideMark/>
          </w:tcPr>
          <w:p w14:paraId="31DFA8E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2F30F8">
        <w:trPr>
          <w:trHeight w:val="290"/>
        </w:trPr>
        <w:tc>
          <w:tcPr>
            <w:tcW w:w="5949" w:type="dxa"/>
            <w:shd w:val="clear" w:color="auto" w:fill="auto"/>
            <w:noWrap/>
            <w:vAlign w:val="bottom"/>
            <w:hideMark/>
          </w:tcPr>
          <w:p w14:paraId="0A0CD11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Gentisic</w:t>
            </w:r>
            <w:proofErr w:type="spellEnd"/>
            <w:r w:rsidRPr="00A82423">
              <w:rPr>
                <w:rStyle w:val="Strong"/>
                <w:rFonts w:ascii="Times New Roman" w:hAnsi="Times New Roman" w:cs="Times New Roman"/>
                <w:b w:val="0"/>
                <w:bCs w:val="0"/>
                <w:color w:val="333333"/>
                <w:sz w:val="24"/>
                <w:szCs w:val="24"/>
                <w:shd w:val="clear" w:color="auto" w:fill="FFFFFF"/>
              </w:rPr>
              <w:t xml:space="preserve"> acid</w:t>
            </w:r>
          </w:p>
        </w:tc>
        <w:tc>
          <w:tcPr>
            <w:tcW w:w="850" w:type="dxa"/>
            <w:shd w:val="clear" w:color="auto" w:fill="auto"/>
            <w:noWrap/>
            <w:vAlign w:val="bottom"/>
            <w:hideMark/>
          </w:tcPr>
          <w:p w14:paraId="2AC95E1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2F30F8">
        <w:trPr>
          <w:trHeight w:val="290"/>
        </w:trPr>
        <w:tc>
          <w:tcPr>
            <w:tcW w:w="5949" w:type="dxa"/>
            <w:shd w:val="clear" w:color="auto" w:fill="auto"/>
            <w:noWrap/>
            <w:vAlign w:val="bottom"/>
            <w:hideMark/>
          </w:tcPr>
          <w:p w14:paraId="0BF4961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Acetylcarnosine</w:t>
            </w:r>
            <w:proofErr w:type="spellEnd"/>
          </w:p>
        </w:tc>
        <w:tc>
          <w:tcPr>
            <w:tcW w:w="850" w:type="dxa"/>
            <w:shd w:val="clear" w:color="auto" w:fill="auto"/>
            <w:noWrap/>
            <w:vAlign w:val="bottom"/>
            <w:hideMark/>
          </w:tcPr>
          <w:p w14:paraId="62AFC97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2F30F8">
        <w:trPr>
          <w:trHeight w:val="290"/>
        </w:trPr>
        <w:tc>
          <w:tcPr>
            <w:tcW w:w="5949" w:type="dxa"/>
            <w:shd w:val="clear" w:color="auto" w:fill="auto"/>
            <w:noWrap/>
            <w:vAlign w:val="bottom"/>
            <w:hideMark/>
          </w:tcPr>
          <w:p w14:paraId="3BD62E20" w14:textId="77777777" w:rsidR="00927A1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2F30F8">
        <w:trPr>
          <w:trHeight w:val="290"/>
        </w:trPr>
        <w:tc>
          <w:tcPr>
            <w:tcW w:w="5949" w:type="dxa"/>
            <w:shd w:val="clear" w:color="auto" w:fill="auto"/>
            <w:noWrap/>
            <w:vAlign w:val="bottom"/>
            <w:hideMark/>
          </w:tcPr>
          <w:p w14:paraId="24B8DB3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2F30F8">
        <w:trPr>
          <w:trHeight w:val="290"/>
        </w:trPr>
        <w:tc>
          <w:tcPr>
            <w:tcW w:w="5949" w:type="dxa"/>
            <w:shd w:val="clear" w:color="auto" w:fill="auto"/>
            <w:noWrap/>
            <w:vAlign w:val="bottom"/>
            <w:hideMark/>
          </w:tcPr>
          <w:p w14:paraId="508A691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lastRenderedPageBreak/>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2F30F8">
        <w:trPr>
          <w:trHeight w:val="290"/>
        </w:trPr>
        <w:tc>
          <w:tcPr>
            <w:tcW w:w="5949" w:type="dxa"/>
            <w:shd w:val="clear" w:color="auto" w:fill="auto"/>
            <w:noWrap/>
            <w:vAlign w:val="bottom"/>
            <w:hideMark/>
          </w:tcPr>
          <w:p w14:paraId="28D5EF9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(0:0/16:0)</w:t>
            </w:r>
          </w:p>
        </w:tc>
        <w:tc>
          <w:tcPr>
            <w:tcW w:w="850" w:type="dxa"/>
            <w:shd w:val="clear" w:color="auto" w:fill="auto"/>
            <w:noWrap/>
            <w:vAlign w:val="bottom"/>
            <w:hideMark/>
          </w:tcPr>
          <w:p w14:paraId="325575D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2F30F8">
        <w:trPr>
          <w:trHeight w:val="290"/>
        </w:trPr>
        <w:tc>
          <w:tcPr>
            <w:tcW w:w="5949" w:type="dxa"/>
            <w:shd w:val="clear" w:color="auto" w:fill="auto"/>
            <w:noWrap/>
            <w:vAlign w:val="bottom"/>
            <w:hideMark/>
          </w:tcPr>
          <w:p w14:paraId="2A3E48C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2F30F8">
        <w:trPr>
          <w:trHeight w:val="290"/>
        </w:trPr>
        <w:tc>
          <w:tcPr>
            <w:tcW w:w="5949" w:type="dxa"/>
            <w:shd w:val="clear" w:color="auto" w:fill="auto"/>
            <w:noWrap/>
            <w:vAlign w:val="bottom"/>
            <w:hideMark/>
          </w:tcPr>
          <w:p w14:paraId="6D927A22"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2F30F8">
        <w:trPr>
          <w:trHeight w:val="290"/>
        </w:trPr>
        <w:tc>
          <w:tcPr>
            <w:tcW w:w="5949" w:type="dxa"/>
            <w:shd w:val="clear" w:color="auto" w:fill="auto"/>
            <w:noWrap/>
            <w:vAlign w:val="bottom"/>
            <w:hideMark/>
          </w:tcPr>
          <w:p w14:paraId="5E8576F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(0:0/22:0)</w:t>
            </w:r>
          </w:p>
        </w:tc>
        <w:tc>
          <w:tcPr>
            <w:tcW w:w="850" w:type="dxa"/>
            <w:shd w:val="clear" w:color="auto" w:fill="auto"/>
            <w:noWrap/>
            <w:vAlign w:val="bottom"/>
            <w:hideMark/>
          </w:tcPr>
          <w:p w14:paraId="4A71E29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2F30F8">
        <w:trPr>
          <w:trHeight w:val="290"/>
        </w:trPr>
        <w:tc>
          <w:tcPr>
            <w:tcW w:w="5949" w:type="dxa"/>
            <w:shd w:val="clear" w:color="auto" w:fill="auto"/>
            <w:noWrap/>
            <w:vAlign w:val="bottom"/>
            <w:hideMark/>
          </w:tcPr>
          <w:p w14:paraId="21E9662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2F30F8">
        <w:trPr>
          <w:trHeight w:val="290"/>
        </w:trPr>
        <w:tc>
          <w:tcPr>
            <w:tcW w:w="5949" w:type="dxa"/>
            <w:shd w:val="clear" w:color="auto" w:fill="auto"/>
            <w:noWrap/>
            <w:vAlign w:val="bottom"/>
            <w:hideMark/>
          </w:tcPr>
          <w:p w14:paraId="7A35CDD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2F30F8">
        <w:trPr>
          <w:trHeight w:val="290"/>
        </w:trPr>
        <w:tc>
          <w:tcPr>
            <w:tcW w:w="5949" w:type="dxa"/>
            <w:shd w:val="clear" w:color="auto" w:fill="auto"/>
            <w:noWrap/>
            <w:vAlign w:val="bottom"/>
            <w:hideMark/>
          </w:tcPr>
          <w:p w14:paraId="230023B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Sphinganine</w:t>
            </w:r>
            <w:proofErr w:type="spellEnd"/>
          </w:p>
        </w:tc>
        <w:tc>
          <w:tcPr>
            <w:tcW w:w="850" w:type="dxa"/>
            <w:shd w:val="clear" w:color="auto" w:fill="auto"/>
            <w:noWrap/>
            <w:vAlign w:val="bottom"/>
            <w:hideMark/>
          </w:tcPr>
          <w:p w14:paraId="39A3178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2F30F8">
        <w:trPr>
          <w:trHeight w:val="290"/>
        </w:trPr>
        <w:tc>
          <w:tcPr>
            <w:tcW w:w="5949" w:type="dxa"/>
            <w:shd w:val="clear" w:color="auto" w:fill="auto"/>
            <w:noWrap/>
            <w:vAlign w:val="bottom"/>
            <w:hideMark/>
          </w:tcPr>
          <w:p w14:paraId="05477E8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Propenoylcarnitine</w:t>
            </w:r>
            <w:proofErr w:type="spellEnd"/>
          </w:p>
        </w:tc>
        <w:tc>
          <w:tcPr>
            <w:tcW w:w="850" w:type="dxa"/>
            <w:shd w:val="clear" w:color="auto" w:fill="auto"/>
            <w:noWrap/>
            <w:vAlign w:val="bottom"/>
            <w:hideMark/>
          </w:tcPr>
          <w:p w14:paraId="40BCBE4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2F30F8">
        <w:trPr>
          <w:trHeight w:val="290"/>
        </w:trPr>
        <w:tc>
          <w:tcPr>
            <w:tcW w:w="5949" w:type="dxa"/>
            <w:shd w:val="clear" w:color="auto" w:fill="auto"/>
            <w:noWrap/>
            <w:vAlign w:val="bottom"/>
            <w:hideMark/>
          </w:tcPr>
          <w:p w14:paraId="36F1537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Palmitoylglycine</w:t>
            </w:r>
            <w:proofErr w:type="spellEnd"/>
          </w:p>
        </w:tc>
        <w:tc>
          <w:tcPr>
            <w:tcW w:w="850" w:type="dxa"/>
            <w:shd w:val="clear" w:color="auto" w:fill="auto"/>
            <w:noWrap/>
            <w:vAlign w:val="bottom"/>
            <w:hideMark/>
          </w:tcPr>
          <w:p w14:paraId="16478AF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2F30F8">
        <w:trPr>
          <w:trHeight w:val="290"/>
        </w:trPr>
        <w:tc>
          <w:tcPr>
            <w:tcW w:w="5949" w:type="dxa"/>
            <w:shd w:val="clear" w:color="auto" w:fill="auto"/>
            <w:noWrap/>
            <w:vAlign w:val="bottom"/>
            <w:hideMark/>
          </w:tcPr>
          <w:p w14:paraId="3EAF421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Phenylalanylphenylalanine</w:t>
            </w:r>
            <w:proofErr w:type="spellEnd"/>
            <w:r w:rsidRPr="00A82423">
              <w:rPr>
                <w:rFonts w:ascii="Times New Roman" w:hAnsi="Times New Roman" w:cs="Times New Roman"/>
                <w:color w:val="333333"/>
                <w:sz w:val="24"/>
                <w:szCs w:val="24"/>
                <w:shd w:val="clear" w:color="auto" w:fill="FFFFFF"/>
              </w:rPr>
              <w:t xml:space="preserve"> (</w:t>
            </w:r>
            <w:proofErr w:type="spellStart"/>
            <w:r w:rsidRPr="00A82423">
              <w:rPr>
                <w:rFonts w:ascii="Times New Roman" w:hAnsi="Times New Roman" w:cs="Times New Roman"/>
                <w:color w:val="333333"/>
                <w:sz w:val="24"/>
                <w:szCs w:val="24"/>
                <w:shd w:val="clear" w:color="auto" w:fill="FFFFFF"/>
              </w:rPr>
              <w:t>Phe-Phe</w:t>
            </w:r>
            <w:proofErr w:type="spellEnd"/>
            <w:r w:rsidRPr="00A82423">
              <w:rPr>
                <w:rFonts w:ascii="Times New Roman" w:hAnsi="Times New Roman" w:cs="Times New Roman"/>
                <w:color w:val="333333"/>
                <w:sz w:val="24"/>
                <w:szCs w:val="24"/>
                <w:shd w:val="clear" w:color="auto" w:fill="FFFFFF"/>
              </w:rPr>
              <w:t>)</w:t>
            </w:r>
          </w:p>
        </w:tc>
        <w:tc>
          <w:tcPr>
            <w:tcW w:w="850" w:type="dxa"/>
            <w:shd w:val="clear" w:color="auto" w:fill="auto"/>
            <w:noWrap/>
            <w:vAlign w:val="bottom"/>
            <w:hideMark/>
          </w:tcPr>
          <w:p w14:paraId="61027E7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2F30F8">
        <w:trPr>
          <w:trHeight w:val="290"/>
        </w:trPr>
        <w:tc>
          <w:tcPr>
            <w:tcW w:w="5949" w:type="dxa"/>
            <w:shd w:val="clear" w:color="auto" w:fill="auto"/>
            <w:noWrap/>
            <w:vAlign w:val="bottom"/>
            <w:hideMark/>
          </w:tcPr>
          <w:p w14:paraId="69960D5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2F30F8">
        <w:trPr>
          <w:trHeight w:val="290"/>
        </w:trPr>
        <w:tc>
          <w:tcPr>
            <w:tcW w:w="5949" w:type="dxa"/>
            <w:shd w:val="clear" w:color="auto" w:fill="auto"/>
            <w:noWrap/>
            <w:vAlign w:val="bottom"/>
            <w:hideMark/>
          </w:tcPr>
          <w:p w14:paraId="2DCD070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(0:0/20:4(5Z,8Z,11Z,14Z))</w:t>
            </w:r>
          </w:p>
        </w:tc>
        <w:tc>
          <w:tcPr>
            <w:tcW w:w="850" w:type="dxa"/>
            <w:shd w:val="clear" w:color="auto" w:fill="auto"/>
            <w:noWrap/>
            <w:vAlign w:val="bottom"/>
            <w:hideMark/>
          </w:tcPr>
          <w:p w14:paraId="2D948E8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2F30F8">
        <w:trPr>
          <w:trHeight w:val="290"/>
        </w:trPr>
        <w:tc>
          <w:tcPr>
            <w:tcW w:w="5949" w:type="dxa"/>
            <w:shd w:val="clear" w:color="auto" w:fill="auto"/>
            <w:noWrap/>
            <w:vAlign w:val="bottom"/>
            <w:hideMark/>
          </w:tcPr>
          <w:p w14:paraId="40D43C4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2F30F8">
        <w:trPr>
          <w:trHeight w:val="290"/>
        </w:trPr>
        <w:tc>
          <w:tcPr>
            <w:tcW w:w="5949" w:type="dxa"/>
            <w:shd w:val="clear" w:color="auto" w:fill="auto"/>
            <w:noWrap/>
            <w:vAlign w:val="bottom"/>
            <w:hideMark/>
          </w:tcPr>
          <w:p w14:paraId="6EE1DA9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2F30F8">
        <w:trPr>
          <w:trHeight w:val="290"/>
        </w:trPr>
        <w:tc>
          <w:tcPr>
            <w:tcW w:w="5949" w:type="dxa"/>
            <w:shd w:val="clear" w:color="auto" w:fill="auto"/>
            <w:noWrap/>
            <w:vAlign w:val="bottom"/>
            <w:hideMark/>
          </w:tcPr>
          <w:p w14:paraId="1698486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L-Glutamic acid (</w:t>
            </w:r>
            <w:r>
              <w:rPr>
                <w:rStyle w:val="Strong"/>
                <w:rFonts w:ascii="Times New Roman" w:hAnsi="Times New Roman" w:cs="Times New Roman"/>
                <w:b w:val="0"/>
                <w:bCs w:val="0"/>
                <w:color w:val="333333"/>
                <w:sz w:val="24"/>
                <w:szCs w:val="24"/>
                <w:shd w:val="clear" w:color="auto" w:fill="FFFFFF"/>
              </w:rPr>
              <w:t>L</w:t>
            </w:r>
            <w:r>
              <w:rPr>
                <w:rStyle w:val="Strong"/>
                <w:color w:val="333333"/>
                <w:shd w:val="clear" w:color="auto" w:fill="FFFFFF"/>
              </w:rPr>
              <w:t>-</w:t>
            </w:r>
            <w:r w:rsidRPr="00A82423">
              <w:rPr>
                <w:rStyle w:val="Strong"/>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2F30F8">
        <w:trPr>
          <w:trHeight w:val="290"/>
        </w:trPr>
        <w:tc>
          <w:tcPr>
            <w:tcW w:w="5949" w:type="dxa"/>
            <w:shd w:val="clear" w:color="auto" w:fill="auto"/>
            <w:noWrap/>
            <w:vAlign w:val="bottom"/>
            <w:hideMark/>
          </w:tcPr>
          <w:p w14:paraId="63CFC93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Prolylhydroxyproline</w:t>
            </w:r>
            <w:proofErr w:type="spellEnd"/>
          </w:p>
        </w:tc>
        <w:tc>
          <w:tcPr>
            <w:tcW w:w="850" w:type="dxa"/>
            <w:shd w:val="clear" w:color="auto" w:fill="auto"/>
            <w:noWrap/>
            <w:vAlign w:val="bottom"/>
            <w:hideMark/>
          </w:tcPr>
          <w:p w14:paraId="27B9436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2F30F8">
        <w:trPr>
          <w:trHeight w:val="290"/>
        </w:trPr>
        <w:tc>
          <w:tcPr>
            <w:tcW w:w="5949" w:type="dxa"/>
            <w:shd w:val="clear" w:color="auto" w:fill="auto"/>
            <w:noWrap/>
            <w:vAlign w:val="bottom"/>
            <w:hideMark/>
          </w:tcPr>
          <w:p w14:paraId="5E73593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(20:0/0:0) </w:t>
            </w:r>
          </w:p>
        </w:tc>
        <w:tc>
          <w:tcPr>
            <w:tcW w:w="850" w:type="dxa"/>
            <w:shd w:val="clear" w:color="auto" w:fill="auto"/>
            <w:noWrap/>
            <w:vAlign w:val="bottom"/>
            <w:hideMark/>
          </w:tcPr>
          <w:p w14:paraId="6DD03AFF"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2F30F8">
        <w:trPr>
          <w:trHeight w:val="290"/>
        </w:trPr>
        <w:tc>
          <w:tcPr>
            <w:tcW w:w="5949" w:type="dxa"/>
            <w:shd w:val="clear" w:color="auto" w:fill="auto"/>
            <w:noWrap/>
            <w:vAlign w:val="bottom"/>
            <w:hideMark/>
          </w:tcPr>
          <w:p w14:paraId="40E98194"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2F30F8">
        <w:trPr>
          <w:trHeight w:val="290"/>
        </w:trPr>
        <w:tc>
          <w:tcPr>
            <w:tcW w:w="5949" w:type="dxa"/>
            <w:shd w:val="clear" w:color="auto" w:fill="auto"/>
            <w:noWrap/>
            <w:vAlign w:val="bottom"/>
            <w:hideMark/>
          </w:tcPr>
          <w:p w14:paraId="4C89C6B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2F30F8">
        <w:trPr>
          <w:trHeight w:val="290"/>
        </w:trPr>
        <w:tc>
          <w:tcPr>
            <w:tcW w:w="5949" w:type="dxa"/>
            <w:shd w:val="clear" w:color="auto" w:fill="auto"/>
            <w:noWrap/>
            <w:vAlign w:val="bottom"/>
            <w:hideMark/>
          </w:tcPr>
          <w:p w14:paraId="5A7D27E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Decanoylcarnitine</w:t>
            </w:r>
            <w:proofErr w:type="spellEnd"/>
          </w:p>
        </w:tc>
        <w:tc>
          <w:tcPr>
            <w:tcW w:w="850" w:type="dxa"/>
            <w:shd w:val="clear" w:color="auto" w:fill="auto"/>
            <w:noWrap/>
            <w:vAlign w:val="bottom"/>
            <w:hideMark/>
          </w:tcPr>
          <w:p w14:paraId="0E7005B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2F30F8">
        <w:trPr>
          <w:trHeight w:val="290"/>
        </w:trPr>
        <w:tc>
          <w:tcPr>
            <w:tcW w:w="5949" w:type="dxa"/>
            <w:shd w:val="clear" w:color="auto" w:fill="auto"/>
            <w:noWrap/>
            <w:vAlign w:val="bottom"/>
            <w:hideMark/>
          </w:tcPr>
          <w:p w14:paraId="6024C789" w14:textId="77777777" w:rsidR="00927A1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2F30F8">
        <w:trPr>
          <w:trHeight w:val="290"/>
        </w:trPr>
        <w:tc>
          <w:tcPr>
            <w:tcW w:w="5949" w:type="dxa"/>
            <w:shd w:val="clear" w:color="auto" w:fill="auto"/>
            <w:noWrap/>
            <w:vAlign w:val="bottom"/>
            <w:hideMark/>
          </w:tcPr>
          <w:p w14:paraId="61C3C2F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Piperine</w:t>
            </w:r>
            <w:proofErr w:type="spellEnd"/>
          </w:p>
        </w:tc>
        <w:tc>
          <w:tcPr>
            <w:tcW w:w="850" w:type="dxa"/>
            <w:shd w:val="clear" w:color="auto" w:fill="auto"/>
            <w:noWrap/>
            <w:vAlign w:val="bottom"/>
            <w:hideMark/>
          </w:tcPr>
          <w:p w14:paraId="2E1A4ACE"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xml:space="preserve">, </w:t>
      </w:r>
      <w:proofErr w:type="spellStart"/>
      <w:r w:rsidR="00ED3C68">
        <w:rPr>
          <w:rFonts w:ascii="Times New Roman" w:hAnsi="Times New Roman" w:cs="Times New Roman"/>
          <w:sz w:val="24"/>
          <w:szCs w:val="24"/>
        </w:rPr>
        <w:t>logFC</w:t>
      </w:r>
      <w:proofErr w:type="spellEnd"/>
      <w:r w:rsidR="00ED3C68">
        <w:rPr>
          <w:rFonts w:ascii="Times New Roman" w:hAnsi="Times New Roman" w:cs="Times New Roman"/>
          <w:sz w:val="24"/>
          <w:szCs w:val="24"/>
        </w:rPr>
        <w:t>,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Heading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proteins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proteins, the associated HGNC identifier, </w:t>
      </w:r>
      <w:proofErr w:type="spellStart"/>
      <w:r>
        <w:rPr>
          <w:rFonts w:ascii="Times New Roman" w:hAnsi="Times New Roman" w:cs="Times New Roman"/>
          <w:sz w:val="24"/>
          <w:szCs w:val="24"/>
        </w:rPr>
        <w:t>logFC</w:t>
      </w:r>
      <w:proofErr w:type="spellEnd"/>
      <w:r>
        <w:rPr>
          <w:rFonts w:ascii="Times New Roman" w:hAnsi="Times New Roman" w:cs="Times New Roman"/>
          <w:sz w:val="24"/>
          <w:szCs w:val="24"/>
        </w:rPr>
        <w:t>, p-value and adjusted p-value are given.</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Sabrina De Oliveira" w:date="2020-06-17T16:37:00Z" w:initials="SDO">
    <w:p w14:paraId="0051B844" w14:textId="6098F791" w:rsidR="002F30F8" w:rsidRDefault="002F30F8">
      <w:pPr>
        <w:pStyle w:val="CommentText"/>
      </w:pPr>
      <w:r>
        <w:rPr>
          <w:rStyle w:val="CommentReference"/>
        </w:rPr>
        <w:annotationRef/>
      </w:r>
      <w:r>
        <w:t>CHECK IF OKAY REFERENCE AND DEDUCTION</w:t>
      </w:r>
    </w:p>
  </w:comment>
  <w:comment w:id="16" w:author="Susan Steinbusch-Coort" w:date="2020-06-22T09:44:00Z" w:initials="SS">
    <w:p w14:paraId="2773DA3F" w14:textId="621FA5D9" w:rsidR="00ED2AAC" w:rsidRDefault="00ED2AAC">
      <w:pPr>
        <w:pStyle w:val="CommentText"/>
      </w:pPr>
      <w:r>
        <w:rPr>
          <w:rStyle w:val="CommentReference"/>
        </w:rPr>
        <w:annotationRef/>
      </w:r>
      <w:r>
        <w:t xml:space="preserve">This is not complete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9" w:author="Susan Steinbusch-Coort" w:date="2020-06-22T11:23:00Z" w:initials="SS">
    <w:p w14:paraId="7CF114F5" w14:textId="0C5C2064" w:rsidR="006D19B9" w:rsidRDefault="006D19B9">
      <w:pPr>
        <w:pStyle w:val="CommentText"/>
      </w:pPr>
      <w:r>
        <w:rPr>
          <w:rStyle w:val="CommentReference"/>
        </w:rPr>
        <w:annotationRef/>
      </w:r>
      <w:r>
        <w:t xml:space="preserve">Here you are mentioned the same thing twice. I would make it one sentence. </w:t>
      </w:r>
    </w:p>
  </w:comment>
  <w:comment w:id="20" w:author="Susan Steinbusch-Coort" w:date="2020-06-22T12:03:00Z" w:initials="SS">
    <w:p w14:paraId="67D220D6" w14:textId="7A2C7299" w:rsidR="006C0A28" w:rsidRDefault="006C0A28">
      <w:pPr>
        <w:pStyle w:val="CommentText"/>
      </w:pPr>
      <w:r>
        <w:rPr>
          <w:rStyle w:val="CommentReference"/>
        </w:rPr>
        <w:annotationRef/>
      </w:r>
      <w:r>
        <w:t>Often the name of a package is given in Italic</w:t>
      </w:r>
    </w:p>
  </w:comment>
  <w:comment w:id="24" w:author="Susan Steinbusch-Coort" w:date="2020-06-22T16:30:00Z" w:initials="SS">
    <w:p w14:paraId="6D3CDEDD" w14:textId="3DDFA4E8" w:rsidR="00CD6FE1" w:rsidRDefault="00CD6FE1">
      <w:pPr>
        <w:pStyle w:val="CommentText"/>
      </w:pPr>
      <w:r>
        <w:rPr>
          <w:rStyle w:val="CommentReference"/>
        </w:rPr>
        <w:annotationRef/>
      </w:r>
      <w:r>
        <w:t xml:space="preserve">Did you average various timepoints? </w:t>
      </w:r>
    </w:p>
  </w:comment>
  <w:comment w:id="28" w:author="Susan Steinbusch-Coort" w:date="2020-06-22T16:32:00Z" w:initials="SS">
    <w:p w14:paraId="066B202D" w14:textId="4EC2F819" w:rsidR="00CD6FE1" w:rsidRDefault="00CD6FE1">
      <w:pPr>
        <w:pStyle w:val="CommentText"/>
      </w:pPr>
      <w:r>
        <w:rPr>
          <w:rStyle w:val="CommentReference"/>
        </w:rPr>
        <w:annotationRef/>
      </w:r>
      <w:r>
        <w:t xml:space="preserve">I would add that you used </w:t>
      </w:r>
      <w:proofErr w:type="spellStart"/>
      <w:r>
        <w:t>eBayes</w:t>
      </w:r>
      <w:proofErr w:type="spellEnd"/>
      <w:r>
        <w:t xml:space="preserve"> statistics. </w:t>
      </w:r>
    </w:p>
  </w:comment>
  <w:comment w:id="34" w:author="Susan Steinbusch-Coort" w:date="2020-06-22T16:39:00Z" w:initials="SS">
    <w:p w14:paraId="120B575F" w14:textId="4E460AFF" w:rsidR="00C053E4" w:rsidRDefault="00C053E4">
      <w:pPr>
        <w:pStyle w:val="CommentText"/>
      </w:pPr>
      <w:r>
        <w:rPr>
          <w:rStyle w:val="CommentReference"/>
        </w:rPr>
        <w:annotationRef/>
      </w:r>
      <w:r>
        <w:t xml:space="preserve">I would remove this part. </w:t>
      </w:r>
    </w:p>
  </w:comment>
  <w:comment w:id="47" w:author="Susan Steinbusch-Coort" w:date="2020-06-22T16:43:00Z" w:initials="SS">
    <w:p w14:paraId="41FE9714" w14:textId="565FA7AE" w:rsidR="00C053E4" w:rsidRDefault="00C053E4">
      <w:pPr>
        <w:pStyle w:val="CommentText"/>
      </w:pPr>
      <w:r>
        <w:rPr>
          <w:rStyle w:val="CommentReference"/>
        </w:rPr>
        <w:annotationRef/>
      </w:r>
      <w:r>
        <w:t xml:space="preserve">I am missing the description of the Fisher Exact test and Z-score, see also the PathVisio paper: </w:t>
      </w:r>
      <w:hyperlink r:id="rId1" w:history="1">
        <w:r>
          <w:rPr>
            <w:rStyle w:val="Hyperlink"/>
          </w:rPr>
          <w:t>https://pubmed.ncbi.nlm.nih.gov/25706687/</w:t>
        </w:r>
      </w:hyperlink>
    </w:p>
  </w:comment>
  <w:comment w:id="48" w:author="Susan Steinbusch-Coort" w:date="2020-06-22T16:45:00Z" w:initials="SS">
    <w:p w14:paraId="473559CF" w14:textId="2A45173C" w:rsidR="00C053E4" w:rsidRDefault="00C053E4">
      <w:pPr>
        <w:pStyle w:val="CommentText"/>
      </w:pPr>
      <w:r>
        <w:rPr>
          <w:rStyle w:val="CommentReference"/>
        </w:rPr>
        <w:annotationRef/>
      </w:r>
      <w:r>
        <w:t>I would move this part to the discussion</w:t>
      </w:r>
    </w:p>
  </w:comment>
  <w:comment w:id="60" w:author="Susan Steinbusch-Coort" w:date="2020-06-22T16:46:00Z" w:initials="SS">
    <w:p w14:paraId="37992B25" w14:textId="0DA023DC" w:rsidR="00C053E4" w:rsidRDefault="00C053E4">
      <w:pPr>
        <w:pStyle w:val="CommentText"/>
      </w:pPr>
      <w:r>
        <w:rPr>
          <w:rStyle w:val="CommentReference"/>
        </w:rPr>
        <w:annotationRef/>
      </w:r>
      <w:r>
        <w:t xml:space="preserve">You are creating a protein-protein interaction (PPI) network using the Cytoscape stringApp.  </w:t>
      </w:r>
    </w:p>
  </w:comment>
  <w:comment w:id="68" w:author="Sabrina De Oliveira" w:date="2020-06-19T14:04:00Z" w:initials="SDO">
    <w:p w14:paraId="1FECB13A" w14:textId="75778F0A" w:rsidR="002F30F8" w:rsidRDefault="002F30F8">
      <w:pPr>
        <w:pStyle w:val="CommentText"/>
      </w:pPr>
      <w:r>
        <w:rPr>
          <w:rStyle w:val="CommentReference"/>
        </w:rPr>
        <w:annotationRef/>
      </w:r>
      <w:r>
        <w:t>Don’t really think this is necessary since I don’t include a picture of the Cytoscape results.</w:t>
      </w:r>
    </w:p>
  </w:comment>
  <w:comment w:id="69" w:author="Susan Steinbusch-Coort" w:date="2020-06-22T16:49:00Z" w:initials="SS">
    <w:p w14:paraId="71EB1EC1" w14:textId="36AD7EEF" w:rsidR="008D2E71" w:rsidRDefault="008D2E71">
      <w:pPr>
        <w:pStyle w:val="CommentText"/>
      </w:pPr>
      <w:r>
        <w:rPr>
          <w:rStyle w:val="CommentReference"/>
        </w:rPr>
        <w:annotationRef/>
      </w:r>
      <w:r>
        <w:t>You can leave the visualization in the M&amp;M</w:t>
      </w:r>
    </w:p>
  </w:comment>
  <w:comment w:id="76" w:author="Susan Steinbusch-Coort" w:date="2020-06-22T18:11:00Z" w:initials="SS">
    <w:p w14:paraId="430A6E00" w14:textId="3B5F3099" w:rsidR="00570746" w:rsidRDefault="00570746">
      <w:pPr>
        <w:pStyle w:val="CommentText"/>
      </w:pPr>
      <w:r>
        <w:rPr>
          <w:rStyle w:val="CommentReference"/>
        </w:rPr>
        <w:annotationRef/>
      </w:r>
      <w:r>
        <w:t xml:space="preserve">Can you tell anything about the time in which the samples were gathered? </w:t>
      </w:r>
    </w:p>
  </w:comment>
  <w:comment w:id="77" w:author="Sabrina De Oliveira" w:date="2020-06-24T11:04:00Z" w:initials="SDO">
    <w:p w14:paraId="2338682B" w14:textId="77777777" w:rsidR="00701BED" w:rsidRDefault="00701BED">
      <w:pPr>
        <w:pStyle w:val="CommentText"/>
      </w:pPr>
      <w:r>
        <w:rPr>
          <w:rStyle w:val="CommentReference"/>
        </w:rPr>
        <w:annotationRef/>
      </w:r>
      <w:proofErr w:type="spellStart"/>
      <w:r w:rsidRPr="00701BED">
        <w:t>metabolome_abundance</w:t>
      </w:r>
      <w:proofErr w:type="spellEnd"/>
      <w:r w:rsidRPr="00701BED">
        <w:t xml:space="preserve"> 9</w:t>
      </w:r>
    </w:p>
    <w:p w14:paraId="7110E967" w14:textId="456699AC" w:rsidR="00701BED" w:rsidRDefault="00007808">
      <w:pPr>
        <w:pStyle w:val="CommentText"/>
      </w:pPr>
      <w:proofErr w:type="spellStart"/>
      <w:r w:rsidRPr="00007808">
        <w:t>proteome_abundance</w:t>
      </w:r>
      <w:proofErr w:type="spellEnd"/>
      <w:r w:rsidRPr="00007808">
        <w:t xml:space="preserve"> 6</w:t>
      </w:r>
    </w:p>
  </w:comment>
  <w:comment w:id="88" w:author="Susan Steinbusch-Coort" w:date="2020-06-22T18:21:00Z" w:initials="SS">
    <w:p w14:paraId="0965E7F5" w14:textId="75255CA6" w:rsidR="00236CB4" w:rsidRDefault="00236CB4">
      <w:pPr>
        <w:pStyle w:val="CommentText"/>
      </w:pPr>
      <w:r>
        <w:rPr>
          <w:rStyle w:val="CommentReference"/>
        </w:rPr>
        <w:annotationRef/>
      </w:r>
      <w:r>
        <w:t>Is this correct? That would be a very small FC (fold change)</w:t>
      </w:r>
    </w:p>
  </w:comment>
  <w:comment w:id="89" w:author="Susan Steinbusch-Coort" w:date="2020-06-22T18:22:00Z" w:initials="SS">
    <w:p w14:paraId="35604AA3" w14:textId="53E75E7A" w:rsidR="00236CB4" w:rsidRDefault="00236CB4">
      <w:pPr>
        <w:pStyle w:val="CommentText"/>
      </w:pPr>
      <w:r>
        <w:rPr>
          <w:rStyle w:val="CommentReference"/>
        </w:rPr>
        <w:annotationRef/>
      </w:r>
      <w:r>
        <w:t xml:space="preserve">Is you start a sentence with a number write it fully. </w:t>
      </w:r>
    </w:p>
  </w:comment>
  <w:comment w:id="90" w:author="Sabrina De Oliveira" w:date="2020-06-16T14:07:00Z" w:initials="SDO">
    <w:p w14:paraId="2F4BF3F1" w14:textId="77777777" w:rsidR="002F30F8" w:rsidRDefault="002F30F8" w:rsidP="008716E4">
      <w:pPr>
        <w:pStyle w:val="CommentText"/>
      </w:pPr>
      <w:r>
        <w:rPr>
          <w:rStyle w:val="CommentReference"/>
        </w:rPr>
        <w:annotationRef/>
      </w:r>
      <w:r>
        <w:t>Don’t really think necessary</w:t>
      </w:r>
    </w:p>
  </w:comment>
  <w:comment w:id="91" w:author="Sabrina De Oliveira" w:date="2020-06-19T17:04:00Z" w:initials="SDO">
    <w:p w14:paraId="49633C49" w14:textId="557E3006" w:rsidR="002F30F8" w:rsidRDefault="002F30F8">
      <w:pPr>
        <w:pStyle w:val="CommentText"/>
      </w:pPr>
      <w:r>
        <w:rPr>
          <w:rStyle w:val="CommentReference"/>
        </w:rPr>
        <w:annotationRef/>
      </w:r>
      <w:r>
        <w:t>BUT might discuss hexanoylcarnitine in discussion – if so leave in.</w:t>
      </w:r>
    </w:p>
  </w:comment>
  <w:comment w:id="92" w:author="Susan Steinbusch-Coort" w:date="2020-06-22T18:25:00Z" w:initials="SS">
    <w:p w14:paraId="6E204E9A" w14:textId="68FA508A" w:rsidR="00236CB4" w:rsidRDefault="00236CB4">
      <w:pPr>
        <w:pStyle w:val="CommentText"/>
      </w:pPr>
      <w:r>
        <w:rPr>
          <w:rStyle w:val="CommentReference"/>
        </w:rPr>
        <w:annotationRef/>
      </w:r>
      <w:r>
        <w:t xml:space="preserve">I don’t understand this part. Is something to discuss in our next meeting. </w:t>
      </w:r>
    </w:p>
  </w:comment>
  <w:comment w:id="93" w:author="Sabrina De Oliveira" w:date="2020-06-23T21:21:00Z" w:initials="SDO">
    <w:p w14:paraId="4520F473" w14:textId="1C4EA71D" w:rsidR="00BD4E70" w:rsidRDefault="00BD4E70">
      <w:pPr>
        <w:pStyle w:val="CommentText"/>
      </w:pPr>
      <w:r>
        <w:rPr>
          <w:rStyle w:val="CommentReference"/>
        </w:rPr>
        <w:annotationRef/>
      </w:r>
    </w:p>
  </w:comment>
  <w:comment w:id="102" w:author="Susan Steinbusch-Coort" w:date="2020-06-22T18:33:00Z" w:initials="SS">
    <w:p w14:paraId="230F9E5E" w14:textId="1439E726" w:rsidR="0020533F" w:rsidRDefault="0020533F">
      <w:pPr>
        <w:pStyle w:val="CommentText"/>
      </w:pPr>
      <w:r>
        <w:rPr>
          <w:rStyle w:val="CommentReference"/>
        </w:rPr>
        <w:annotationRef/>
      </w:r>
      <w:r>
        <w:t xml:space="preserve">Why do you need to check this? </w:t>
      </w:r>
    </w:p>
  </w:comment>
  <w:comment w:id="107" w:author="Susan Steinbusch-Coort" w:date="2020-06-22T18:35:00Z" w:initials="SS">
    <w:p w14:paraId="27329DF5" w14:textId="35D55B10" w:rsidR="0020533F" w:rsidRDefault="0020533F">
      <w:pPr>
        <w:pStyle w:val="CommentText"/>
      </w:pPr>
      <w:r>
        <w:rPr>
          <w:rStyle w:val="CommentReference"/>
        </w:rPr>
        <w:annotationRef/>
      </w:r>
      <w:r>
        <w:t xml:space="preserve">If you have room left I would include this figure in the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2773DA3F" w15:done="0"/>
  <w15:commentEx w15:paraId="7CF114F5" w15:done="0"/>
  <w15:commentEx w15:paraId="67D220D6" w15:done="0"/>
  <w15:commentEx w15:paraId="6D3CDEDD" w15:done="0"/>
  <w15:commentEx w15:paraId="066B202D" w15:done="0"/>
  <w15:commentEx w15:paraId="120B575F" w15:done="0"/>
  <w15:commentEx w15:paraId="41FE9714" w15:done="0"/>
  <w15:commentEx w15:paraId="473559CF" w15:done="0"/>
  <w15:commentEx w15:paraId="37992B25" w15:done="0"/>
  <w15:commentEx w15:paraId="1FECB13A" w15:done="0"/>
  <w15:commentEx w15:paraId="71EB1EC1" w15:paraIdParent="1FECB13A" w15:done="0"/>
  <w15:commentEx w15:paraId="430A6E00" w15:done="0"/>
  <w15:commentEx w15:paraId="7110E967" w15:paraIdParent="430A6E00" w15:done="0"/>
  <w15:commentEx w15:paraId="0965E7F5" w15:done="0"/>
  <w15:commentEx w15:paraId="35604AA3" w15:done="0"/>
  <w15:commentEx w15:paraId="2F4BF3F1" w15:done="0"/>
  <w15:commentEx w15:paraId="49633C49" w15:paraIdParent="2F4BF3F1" w15:done="0"/>
  <w15:commentEx w15:paraId="6E204E9A" w15:done="0"/>
  <w15:commentEx w15:paraId="4520F473" w15:paraIdParent="6E204E9A" w15:done="0"/>
  <w15:commentEx w15:paraId="230F9E5E" w15:done="0"/>
  <w15:commentEx w15:paraId="27329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Extensible w16cex:durableId="22974465" w16cex:dateUtc="2020-06-19T12:04:00Z"/>
  <w16cex:commentExtensible w16cex:durableId="229DB1D0" w16cex:dateUtc="2020-06-24T09:04:00Z"/>
  <w16cex:commentExtensible w16cex:durableId="22976B1A" w16cex:dateUtc="2020-06-19T14:49:00Z"/>
  <w16cex:commentExtensible w16cex:durableId="22976E8C" w16cex:dateUtc="2020-06-19T15:04:00Z"/>
  <w16cex:commentExtensible w16cex:durableId="229CF0DD" w16cex:dateUtc="2020-06-23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2773DA3F" w16cid:durableId="229AFC00"/>
  <w16cid:commentId w16cid:paraId="7CF114F5" w16cid:durableId="229B132E"/>
  <w16cid:commentId w16cid:paraId="67D220D6" w16cid:durableId="229B1C7F"/>
  <w16cid:commentId w16cid:paraId="6D3CDEDD" w16cid:durableId="229B5B15"/>
  <w16cid:commentId w16cid:paraId="066B202D" w16cid:durableId="229B5B8B"/>
  <w16cid:commentId w16cid:paraId="120B575F" w16cid:durableId="229B5D28"/>
  <w16cid:commentId w16cid:paraId="41FE9714" w16cid:durableId="229B5E26"/>
  <w16cid:commentId w16cid:paraId="473559CF" w16cid:durableId="229B5EA5"/>
  <w16cid:commentId w16cid:paraId="37992B25" w16cid:durableId="229B5ECE"/>
  <w16cid:commentId w16cid:paraId="1FECB13A" w16cid:durableId="22974465"/>
  <w16cid:commentId w16cid:paraId="71EB1EC1" w16cid:durableId="229B5F9A"/>
  <w16cid:commentId w16cid:paraId="430A6E00" w16cid:durableId="229B72D2"/>
  <w16cid:commentId w16cid:paraId="7110E967" w16cid:durableId="229DB1D0"/>
  <w16cid:commentId w16cid:paraId="0965E7F5" w16cid:durableId="229B7546"/>
  <w16cid:commentId w16cid:paraId="35604AA3" w16cid:durableId="229B7573"/>
  <w16cid:commentId w16cid:paraId="2F4BF3F1" w16cid:durableId="22976B1A"/>
  <w16cid:commentId w16cid:paraId="49633C49" w16cid:durableId="22976E8C"/>
  <w16cid:commentId w16cid:paraId="6E204E9A" w16cid:durableId="229B7621"/>
  <w16cid:commentId w16cid:paraId="4520F473" w16cid:durableId="229CF0DD"/>
  <w16cid:commentId w16cid:paraId="230F9E5E" w16cid:durableId="229B77F5"/>
  <w16cid:commentId w16cid:paraId="27329DF5" w16cid:durableId="229B7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Steinbusch-Coort">
    <w15:presenceInfo w15:providerId="Windows Live" w15:userId="d50d603c05d9e194"/>
  </w15:person>
  <w15:person w15:author="Sabrina De Oliveira">
    <w15:presenceInfo w15:providerId="Windows Live" w15:userId="34420f5773a88c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07808"/>
    <w:rsid w:val="00011DEA"/>
    <w:rsid w:val="00016455"/>
    <w:rsid w:val="000164DC"/>
    <w:rsid w:val="0001693C"/>
    <w:rsid w:val="0003111C"/>
    <w:rsid w:val="00031E94"/>
    <w:rsid w:val="000338B8"/>
    <w:rsid w:val="000525B3"/>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A78C4"/>
    <w:rsid w:val="001B478B"/>
    <w:rsid w:val="001C235B"/>
    <w:rsid w:val="001C38F6"/>
    <w:rsid w:val="001D4194"/>
    <w:rsid w:val="001E52E1"/>
    <w:rsid w:val="001E56C1"/>
    <w:rsid w:val="001E65E5"/>
    <w:rsid w:val="001E671D"/>
    <w:rsid w:val="001E73CA"/>
    <w:rsid w:val="001F36F6"/>
    <w:rsid w:val="002001B5"/>
    <w:rsid w:val="0020314D"/>
    <w:rsid w:val="00204EDB"/>
    <w:rsid w:val="0020533F"/>
    <w:rsid w:val="00211B3E"/>
    <w:rsid w:val="00222C19"/>
    <w:rsid w:val="00225D2F"/>
    <w:rsid w:val="00226E3C"/>
    <w:rsid w:val="00230393"/>
    <w:rsid w:val="002334FA"/>
    <w:rsid w:val="00236CB4"/>
    <w:rsid w:val="0024199F"/>
    <w:rsid w:val="00242C10"/>
    <w:rsid w:val="002476B2"/>
    <w:rsid w:val="00252AA8"/>
    <w:rsid w:val="00252BF0"/>
    <w:rsid w:val="002539CF"/>
    <w:rsid w:val="002606CE"/>
    <w:rsid w:val="0027363B"/>
    <w:rsid w:val="0028112C"/>
    <w:rsid w:val="002821EB"/>
    <w:rsid w:val="00282752"/>
    <w:rsid w:val="0029258A"/>
    <w:rsid w:val="00295288"/>
    <w:rsid w:val="00296158"/>
    <w:rsid w:val="00296DBD"/>
    <w:rsid w:val="00297664"/>
    <w:rsid w:val="002A2224"/>
    <w:rsid w:val="002A6035"/>
    <w:rsid w:val="002B12CA"/>
    <w:rsid w:val="002C1335"/>
    <w:rsid w:val="002C1868"/>
    <w:rsid w:val="002C4727"/>
    <w:rsid w:val="002D1094"/>
    <w:rsid w:val="002D3A2F"/>
    <w:rsid w:val="002E0464"/>
    <w:rsid w:val="002E09B2"/>
    <w:rsid w:val="002E7729"/>
    <w:rsid w:val="002F097D"/>
    <w:rsid w:val="002F30F8"/>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44E4"/>
    <w:rsid w:val="003F7E47"/>
    <w:rsid w:val="00401FBC"/>
    <w:rsid w:val="00403587"/>
    <w:rsid w:val="00405893"/>
    <w:rsid w:val="004223AC"/>
    <w:rsid w:val="00426529"/>
    <w:rsid w:val="00430704"/>
    <w:rsid w:val="00435FB9"/>
    <w:rsid w:val="004375A0"/>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5695"/>
    <w:rsid w:val="005468E5"/>
    <w:rsid w:val="00546976"/>
    <w:rsid w:val="005527BA"/>
    <w:rsid w:val="005562BF"/>
    <w:rsid w:val="00557DF9"/>
    <w:rsid w:val="00563D14"/>
    <w:rsid w:val="0056547C"/>
    <w:rsid w:val="00567346"/>
    <w:rsid w:val="00567E34"/>
    <w:rsid w:val="00570746"/>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4806"/>
    <w:rsid w:val="00635FDD"/>
    <w:rsid w:val="006437A3"/>
    <w:rsid w:val="00643F54"/>
    <w:rsid w:val="006545DA"/>
    <w:rsid w:val="006559C9"/>
    <w:rsid w:val="00655E70"/>
    <w:rsid w:val="0066109C"/>
    <w:rsid w:val="00664373"/>
    <w:rsid w:val="00666177"/>
    <w:rsid w:val="00672A52"/>
    <w:rsid w:val="00674E29"/>
    <w:rsid w:val="006758DD"/>
    <w:rsid w:val="00676804"/>
    <w:rsid w:val="00677C47"/>
    <w:rsid w:val="00686CA3"/>
    <w:rsid w:val="00692DFE"/>
    <w:rsid w:val="0069701F"/>
    <w:rsid w:val="00697D71"/>
    <w:rsid w:val="006A0A13"/>
    <w:rsid w:val="006A122B"/>
    <w:rsid w:val="006A1826"/>
    <w:rsid w:val="006A5E09"/>
    <w:rsid w:val="006C0A28"/>
    <w:rsid w:val="006C100F"/>
    <w:rsid w:val="006C16A6"/>
    <w:rsid w:val="006C21E8"/>
    <w:rsid w:val="006C5EBA"/>
    <w:rsid w:val="006D13F6"/>
    <w:rsid w:val="006D19B9"/>
    <w:rsid w:val="006D4033"/>
    <w:rsid w:val="006E098A"/>
    <w:rsid w:val="006E3D0F"/>
    <w:rsid w:val="006F0693"/>
    <w:rsid w:val="006F4EE2"/>
    <w:rsid w:val="006F54AE"/>
    <w:rsid w:val="006F73E6"/>
    <w:rsid w:val="00701255"/>
    <w:rsid w:val="00701BED"/>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D2E71"/>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86E44"/>
    <w:rsid w:val="00992B3D"/>
    <w:rsid w:val="00995C8F"/>
    <w:rsid w:val="009971AB"/>
    <w:rsid w:val="009B2ECA"/>
    <w:rsid w:val="009B469F"/>
    <w:rsid w:val="009B59B5"/>
    <w:rsid w:val="009F3768"/>
    <w:rsid w:val="009F5ADB"/>
    <w:rsid w:val="009F688A"/>
    <w:rsid w:val="00A070D5"/>
    <w:rsid w:val="00A10D5F"/>
    <w:rsid w:val="00A13378"/>
    <w:rsid w:val="00A16D47"/>
    <w:rsid w:val="00A17416"/>
    <w:rsid w:val="00A22C98"/>
    <w:rsid w:val="00A3255C"/>
    <w:rsid w:val="00A3326B"/>
    <w:rsid w:val="00A35A05"/>
    <w:rsid w:val="00A35DF9"/>
    <w:rsid w:val="00A36C83"/>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D06B8"/>
    <w:rsid w:val="00BD13F4"/>
    <w:rsid w:val="00BD2D65"/>
    <w:rsid w:val="00BD34C4"/>
    <w:rsid w:val="00BD4E70"/>
    <w:rsid w:val="00BD518F"/>
    <w:rsid w:val="00BD533A"/>
    <w:rsid w:val="00BD5CE7"/>
    <w:rsid w:val="00BE3361"/>
    <w:rsid w:val="00BF0D4C"/>
    <w:rsid w:val="00C053E4"/>
    <w:rsid w:val="00C05B84"/>
    <w:rsid w:val="00C13D85"/>
    <w:rsid w:val="00C1406D"/>
    <w:rsid w:val="00C21195"/>
    <w:rsid w:val="00C25782"/>
    <w:rsid w:val="00C27645"/>
    <w:rsid w:val="00C27AAA"/>
    <w:rsid w:val="00C31EE7"/>
    <w:rsid w:val="00C402FD"/>
    <w:rsid w:val="00C4181C"/>
    <w:rsid w:val="00C4316D"/>
    <w:rsid w:val="00C611CE"/>
    <w:rsid w:val="00C64E27"/>
    <w:rsid w:val="00C67CFA"/>
    <w:rsid w:val="00C767FE"/>
    <w:rsid w:val="00C779BD"/>
    <w:rsid w:val="00C8014C"/>
    <w:rsid w:val="00C813D6"/>
    <w:rsid w:val="00C91D09"/>
    <w:rsid w:val="00C92198"/>
    <w:rsid w:val="00CA68A1"/>
    <w:rsid w:val="00CA7687"/>
    <w:rsid w:val="00CC29BB"/>
    <w:rsid w:val="00CC3C7F"/>
    <w:rsid w:val="00CD53D8"/>
    <w:rsid w:val="00CD6FE1"/>
    <w:rsid w:val="00CE047B"/>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568F7"/>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497B"/>
    <w:rsid w:val="00E577C1"/>
    <w:rsid w:val="00E60B24"/>
    <w:rsid w:val="00E62D1B"/>
    <w:rsid w:val="00E6312A"/>
    <w:rsid w:val="00E66BA8"/>
    <w:rsid w:val="00E709E8"/>
    <w:rsid w:val="00E71AAA"/>
    <w:rsid w:val="00E739ED"/>
    <w:rsid w:val="00E76462"/>
    <w:rsid w:val="00E939BA"/>
    <w:rsid w:val="00E9564A"/>
    <w:rsid w:val="00EA4197"/>
    <w:rsid w:val="00EA7343"/>
    <w:rsid w:val="00EA7C5C"/>
    <w:rsid w:val="00EB518D"/>
    <w:rsid w:val="00EC77F7"/>
    <w:rsid w:val="00ED2AAC"/>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570668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thelancet.com/pdfs/journals/ebiom/PIIS2352-3964(19)30800-X.pdf" TargetMode="External"/><Relationship Id="rId18" Type="http://schemas.openxmlformats.org/officeDocument/2006/relationships/comments" Target="comments.xml"/><Relationship Id="rId26" Type="http://schemas.openxmlformats.org/officeDocument/2006/relationships/hyperlink" Target="https://www.nature.com/articles/s41467-017-00249-5" TargetMode="External"/><Relationship Id="rId39" Type="http://schemas.openxmlformats.org/officeDocument/2006/relationships/hyperlink" Target="https://pubs.acs.org/doi/abs/10.1021/acs.jproteome.8b00702?casa_token=USD2zPrA-5QAAAAA%3AYyafljBu-Nc16fPtSZTe6iUPJs-9Osr3IunM7yHnmRqfAMPsnYE-OCnVtE63ZJN9MbDSHO4XSTxDSww-&amp;" TargetMode="Externa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hyperlink" Target="https://journals.plos.org/ploscompbiol/article?id=10.1371/journal.pcbi.1004085"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hyperlink" Target="https://www-jci-org.ezproxy.ub.unimaas.nl/articles/view/77812" TargetMode="External"/><Relationship Id="rId12"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17" Type="http://schemas.openxmlformats.org/officeDocument/2006/relationships/hyperlink" Target="https://www.jci.org/articles/view/10762" TargetMode="External"/><Relationship Id="rId25" Type="http://schemas.openxmlformats.org/officeDocument/2006/relationships/hyperlink" Target="http://hmp2-data.stanford.edu/"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www.ncbi.nlm.nih.gov/pmc/articles/PMC403769/"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ciencedirect-com.ezproxy.ub.unimaas.nl/science/article/pii/S0002914999002118" TargetMode="External"/><Relationship Id="rId20" Type="http://schemas.microsoft.com/office/2016/09/relationships/commentsIds" Target="commentsIds.xml"/><Relationship Id="rId29" Type="http://schemas.openxmlformats.org/officeDocument/2006/relationships/hyperlink" Target="https://github.com/jstansfield0/HMP2Data"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diabetesatlas.org/" TargetMode="Externa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s://www.nature.com/articles/s41586-019-1236-x" TargetMode="External"/><Relationship Id="rId32" Type="http://schemas.openxmlformats.org/officeDocument/2006/relationships/hyperlink" Target="https://academic.oup.com/bioinformatics/article/34/19/3417/4987147" TargetMode="External"/><Relationship Id="rId37" Type="http://schemas.openxmlformats.org/officeDocument/2006/relationships/hyperlink" Target="https://pubmed.ncbi.nlm.nih.gov/31441146/" TargetMode="External"/><Relationship Id="rId40" Type="http://schemas.openxmlformats.org/officeDocument/2006/relationships/hyperlink" Target="https://f1000research.com/articles/7-743"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ature.com/articles/s41467-018-05357-4" TargetMode="External"/><Relationship Id="rId23" Type="http://schemas.openxmlformats.org/officeDocument/2006/relationships/hyperlink" Target="https://www.ncbi.nlm.nih.gov/pmc/articles/PMC5109542/" TargetMode="External"/><Relationship Id="rId28" Type="http://schemas.openxmlformats.org/officeDocument/2006/relationships/image" Target="media/image1.png"/><Relationship Id="rId36" Type="http://schemas.openxmlformats.org/officeDocument/2006/relationships/hyperlink" Target="https://academic.oup.com/nar/article/46/D1/D661/4612963" TargetMode="External"/><Relationship Id="rId49" Type="http://schemas.openxmlformats.org/officeDocument/2006/relationships/theme" Target="theme/theme1.xml"/><Relationship Id="rId10" Type="http://schemas.openxmlformats.org/officeDocument/2006/relationships/hyperlink" Target="https://www-ncbi-nlm-nih-gov.ezproxy.ub.unimaas.nl/books/NBK507839/" TargetMode="External"/><Relationship Id="rId19" Type="http://schemas.microsoft.com/office/2011/relationships/commentsExtended" Target="commentsExtended.xml"/><Relationship Id="rId3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ncbi.nlm.nih.gov/pmc/articles/PMC6131567/" TargetMode="External"/><Relationship Id="rId14" Type="http://schemas.openxmlformats.org/officeDocument/2006/relationships/hyperlink" Target="https://nyaspubs-onlinelibrary-wiley-com.ezproxy.ub.unimaas.nl/doi/full/10.1111/nyas.14107"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www.pnas.org/content/82/20/6955" TargetMode="External"/><Relationship Id="rId30" Type="http://schemas.openxmlformats.org/officeDocument/2006/relationships/hyperlink" Target="https://journals.plos.org/plosone/article?id=10.1371/journal.pone.0061217" TargetMode="External"/><Relationship Id="rId35" Type="http://schemas.openxmlformats.org/officeDocument/2006/relationships/hyperlink" Target="https://currentprotocols.onlinelibrary.wiley.com/doi/abs/10.1002/cpbi.86" TargetMode="External"/><Relationship Id="rId43" Type="http://schemas.openxmlformats.org/officeDocument/2006/relationships/image" Target="media/image4.png"/><Relationship Id="rId48" Type="http://schemas.microsoft.com/office/2011/relationships/people" Target="people.xml"/><Relationship Id="rId8" Type="http://schemas.openxmlformats.org/officeDocument/2006/relationships/hyperlink" Target="https://www.hindawi.com/journals/ije/2012/983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B31F-0FE2-4902-9867-0353BF1B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24</Pages>
  <Words>6464</Words>
  <Characters>36848</Characters>
  <Application>Microsoft Office Word</Application>
  <DocSecurity>0</DocSecurity>
  <Lines>307</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9</cp:revision>
  <cp:lastPrinted>2020-06-19T14:05:00Z</cp:lastPrinted>
  <dcterms:created xsi:type="dcterms:W3CDTF">2020-06-22T07:02:00Z</dcterms:created>
  <dcterms:modified xsi:type="dcterms:W3CDTF">2020-06-24T09:07:00Z</dcterms:modified>
</cp:coreProperties>
</file>