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IDF Diabetes Atlas, 9th edn.</w:t>
      </w:r>
      <w:r w:rsidRPr="004A36DA">
        <w:rPr>
          <w:rFonts w:ascii="Times New Roman" w:hAnsi="Times New Roman" w:cs="Times New Roman"/>
          <w:color w:val="000000"/>
          <w:sz w:val="24"/>
          <w:szCs w:val="24"/>
        </w:rPr>
        <w:t xml:space="preserve"> Brussels, Belgium: 2019. Available at: </w:t>
      </w:r>
      <w:hyperlink r:id="rId6"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7"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8"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9"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0"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1"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2"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3" w:history="1">
        <w:r w:rsidR="006F54AE">
          <w:rPr>
            <w:rStyle w:val="Hyperlink"/>
            <w:color w:val="1155CC"/>
          </w:rPr>
          <w:t>https://www.thelancet.com/pdfs/journals/ebiom/PIIS2352-3964(19)30800-X.pdf</w:t>
        </w:r>
      </w:hyperlink>
      <w:r w:rsidR="0013238C">
        <w:rPr>
          <w:rStyle w:val="Hyperlink"/>
          <w:color w:val="1155CC"/>
        </w:rPr>
        <w:t xml:space="preserve">, </w:t>
      </w:r>
      <w:hyperlink r:id="rId14"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59EFD50"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A1826" w:rsidRPr="000D17FF">
        <w:rPr>
          <w:color w:val="000000"/>
        </w:rPr>
        <w:t>)</w:t>
      </w:r>
      <w:r w:rsidR="006A1826">
        <w:rPr>
          <w:color w:val="000000"/>
        </w:rPr>
        <w:t xml:space="preserve">. However, insulin resistance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5"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r w:rsidR="007162EB">
        <w:rPr>
          <w:color w:val="000000"/>
        </w:rPr>
        <w:t>FFAs</w:t>
      </w:r>
      <w:r w:rsidR="00BA422B">
        <w:rPr>
          <w:color w:val="000000"/>
        </w:rPr>
        <w:t xml:space="preserve"> and VLDLs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6"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Metabolomics and Type 2 Diabetes: Translating Basic Research into Clinical Application Matthias S. Klein, Metabolic profiling of the human response to a glucose challenge reveals distinct axes of insulin sensitivity Oded Shaham</w:t>
      </w:r>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0"/>
      <w:r w:rsidR="00780026">
        <w:rPr>
          <w:color w:val="1155CC"/>
        </w:rPr>
        <w:t>The proteomic signature of insulin-resistant human skeletal muscle reveals increased glycolytic and decreased mitochondrial enzymes J. Giebelstein</w:t>
      </w:r>
      <w:commentRangeEnd w:id="0"/>
      <w:r w:rsidR="00780026">
        <w:rPr>
          <w:rStyle w:val="CommentReference"/>
          <w:rFonts w:asciiTheme="minorHAnsi" w:eastAsiaTheme="minorHAnsi" w:hAnsiTheme="minorHAnsi" w:cstheme="minorBidi"/>
          <w:lang w:eastAsia="en-US"/>
        </w:rPr>
        <w:commentReference w:id="0"/>
      </w:r>
      <w:r w:rsidR="00780026">
        <w:rPr>
          <w:color w:val="000000"/>
        </w:rPr>
        <w:t xml:space="preserve">). </w:t>
      </w:r>
    </w:p>
    <w:p w14:paraId="166F4DA6" w14:textId="33ECD10F"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r w:rsidR="00537ED8">
        <w:rPr>
          <w:color w:val="000000"/>
        </w:rPr>
        <w:t>still remain unclear.</w:t>
      </w:r>
      <w:r w:rsidR="00735FC3">
        <w:rPr>
          <w:color w:val="000000"/>
        </w:rPr>
        <w:t xml:space="preserve"> For this reason, this 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pre-diabetics</w:t>
      </w:r>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 </w:t>
      </w:r>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36DEBB93" w:rsidR="0049168B" w:rsidRDefault="00B14618" w:rsidP="00D04A98">
      <w:pPr>
        <w:pStyle w:val="NormalWeb"/>
        <w:spacing w:before="0" w:beforeAutospacing="0" w:after="0" w:afterAutospacing="0" w:line="360" w:lineRule="auto"/>
        <w:jc w:val="both"/>
      </w:pPr>
      <w:r>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 xml:space="preserve">106 individuals at high risk for </w:t>
      </w:r>
      <w:r w:rsidR="003D4D81">
        <w:rPr>
          <w:color w:val="000000"/>
        </w:rPr>
        <w:lastRenderedPageBreak/>
        <w:t>diabetes over a period of 4 years in order to determine the ‘physiological changes that occur in the microbiome and host during viral infection and during changes in glucose levels and insulin resistance’ (</w:t>
      </w:r>
      <w:hyperlink r:id="rId21"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2 groups was done </w:t>
      </w:r>
      <w:r w:rsidR="001106A1">
        <w:rPr>
          <w:color w:val="000000"/>
        </w:rPr>
        <w:t xml:space="preserve">using a Principal Coordinate Analysis (PCoA)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Finally, microbes and metabolites </w:t>
      </w:r>
      <w:r w:rsidR="00AF10B1">
        <w:rPr>
          <w:color w:val="000000"/>
        </w:rPr>
        <w:t xml:space="preserve">likely </w:t>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2"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3"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4"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r w:rsidRPr="006B178A">
        <w:rPr>
          <w:rFonts w:ascii="Times New Roman" w:eastAsia="Times New Roman" w:hAnsi="Times New Roman" w:cs="Times New Roman"/>
          <w:color w:val="000000"/>
          <w:sz w:val="24"/>
          <w:szCs w:val="24"/>
          <w:lang w:eastAsia="en-GB"/>
        </w:rPr>
        <w:t xml:space="preserve">iHMP’s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w:t>
      </w:r>
      <w:commentRangeStart w:id="1"/>
      <w:r w:rsidRPr="00AB7B0F">
        <w:rPr>
          <w:rFonts w:ascii="Times New Roman" w:eastAsia="Times New Roman" w:hAnsi="Times New Roman" w:cs="Times New Roman"/>
          <w:color w:val="000000"/>
          <w:sz w:val="24"/>
          <w:szCs w:val="24"/>
          <w:lang w:eastAsia="en-GB"/>
        </w:rPr>
        <w:t>SSPG</w:t>
      </w:r>
      <w:commentRangeEnd w:id="1"/>
      <w:r>
        <w:rPr>
          <w:rStyle w:val="CommentReference"/>
        </w:rPr>
        <w:commentReference w:id="1"/>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0F704EDE"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At each visit blood, urine and fecal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5"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Want EJ. LC-MS Untargeted Analysis. InMetabolic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6"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of the iHMP’s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phyloseq-class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Stansfield J, Dozmorov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8"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t xml:space="preserve">of the phyloseq R package </w:t>
      </w:r>
      <w:r w:rsidR="004F339B">
        <w:rPr>
          <w:rFonts w:ascii="Times New Roman" w:hAnsi="Times New Roman" w:cs="Times New Roman"/>
          <w:color w:val="000000"/>
          <w:sz w:val="24"/>
          <w:szCs w:val="24"/>
        </w:rPr>
        <w:t>(</w:t>
      </w:r>
      <w:hyperlink r:id="rId29"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In order to perform the integrative analysis of the metabolomic and metagenomic data, the metagenomic data contained in the phyloseq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adjusting those in the metabolomic datafile to match the phyloseq</w:t>
      </w:r>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of the metagenomic phyloseq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phyloseq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were then used to prune the taxa of the entire phyloseq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t>Statistical analysis of the metagenomic data</w:t>
      </w:r>
    </w:p>
    <w:p w14:paraId="55F6ADFD" w14:textId="2AE3BDD4"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To determine whether the microbiomes of the IR and IS group are distinct, the phyloseq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(PCoA) with the Bray-Curtis dissi</w:t>
      </w:r>
      <w:r w:rsidRPr="00AB7B0F">
        <w:rPr>
          <w:rFonts w:ascii="Times New Roman" w:hAnsi="Times New Roman" w:cs="Times New Roman"/>
          <w:color w:val="000000"/>
          <w:sz w:val="24"/>
          <w:szCs w:val="24"/>
        </w:rPr>
        <w:lastRenderedPageBreak/>
        <w:t xml:space="preserve">milarity on the log(1+x) transformed metagenomic data. A multivariate ANOVA with permutations (PERMANOVA) was then carried out on the phyloseq relative abundances to investigate whether the differences suggested by the PCoA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f the 2 groups could be an explanation for any separation seen in the PCoA</w:t>
      </w:r>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 (</w:t>
      </w:r>
      <w:r w:rsidRPr="00001DCC">
        <w:rPr>
          <w:rFonts w:ascii="Times New Roman" w:hAnsi="Times New Roman" w:cs="Times New Roman"/>
          <w:sz w:val="24"/>
          <w:szCs w:val="24"/>
          <w:bdr w:val="none" w:sz="0" w:space="0" w:color="auto" w:frame="1"/>
        </w:rPr>
        <w:t>Jari Oksanen, F. Guillaume Blanchet, Michael Friendly, Roeland Kindt, Pierre Legendre, Dan McGlinn, Peter R. Minchin,R. B. O'Hara, Gavin L. Simpson, Peter Solymos, M. Henry H. Stevens, Eduard Szoecs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vegan:Community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barplots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0"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w:t>
      </w:r>
      <w:r w:rsidR="00C91D09">
        <w:rPr>
          <w:rFonts w:ascii="Times New Roman" w:eastAsia="Times New Roman" w:hAnsi="Times New Roman" w:cs="Times New Roman"/>
          <w:color w:val="000000"/>
          <w:sz w:val="24"/>
          <w:szCs w:val="24"/>
          <w:lang w:eastAsia="en-GB"/>
        </w:rPr>
        <w:t xml:space="preserve">he metabolomic data was filtered to only include metabolites </w:t>
      </w:r>
      <w:r w:rsidR="002F42E4">
        <w:rPr>
          <w:rFonts w:ascii="Times New Roman" w:eastAsia="Times New Roman" w:hAnsi="Times New Roman" w:cs="Times New Roman"/>
          <w:color w:val="000000"/>
          <w:sz w:val="24"/>
          <w:szCs w:val="24"/>
          <w:lang w:eastAsia="en-GB"/>
        </w:rPr>
        <w:t xml:space="preserve">for which an HMDB identifier was given </w:t>
      </w:r>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MetaboDiff package </w:t>
      </w:r>
      <w:r w:rsidR="00495B58">
        <w:rPr>
          <w:rFonts w:ascii="Times New Roman" w:eastAsia="Times New Roman" w:hAnsi="Times New Roman" w:cs="Times New Roman"/>
          <w:color w:val="000000"/>
          <w:sz w:val="24"/>
          <w:szCs w:val="24"/>
          <w:lang w:eastAsia="en-GB"/>
        </w:rPr>
        <w:t>(</w:t>
      </w:r>
      <w:hyperlink r:id="rId31"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Emphasis"/>
          <w:rFonts w:ascii="Times New Roman" w:hAnsi="Times New Roman" w:cs="Times New Roman"/>
          <w:i w:val="0"/>
          <w:iCs w:val="0"/>
          <w:sz w:val="24"/>
          <w:szCs w:val="24"/>
          <w:shd w:val="clear" w:color="auto" w:fill="FFFFFF"/>
        </w:rPr>
        <w:t>HUGO Gene Nomenclature Committee</w:t>
      </w:r>
      <w:r w:rsidR="0066109C" w:rsidRPr="0066109C">
        <w:rPr>
          <w:rStyle w:val="Emphasis"/>
          <w:rFonts w:ascii="Times New Roman" w:hAnsi="Times New Roman" w:cs="Times New Roman"/>
          <w:i w:val="0"/>
          <w:iCs w:val="0"/>
          <w:sz w:val="24"/>
          <w:szCs w:val="24"/>
          <w:shd w:val="clear" w:color="auto" w:fill="FFFFFF"/>
        </w:rPr>
        <w:t xml:space="preserv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2"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58844B45" w:rsidR="009F688A" w:rsidRDefault="00D37257" w:rsidP="00672A52">
      <w:pPr>
        <w:spacing w:line="360" w:lineRule="auto"/>
        <w:rPr>
          <w:rFonts w:ascii="Times New Roman" w:hAnsi="Times New Roman" w:cs="Times New Roman"/>
          <w:color w:val="000000"/>
          <w:sz w:val="24"/>
          <w:szCs w:val="24"/>
        </w:rPr>
      </w:pPr>
      <w:r>
        <w:rPr>
          <w:rFonts w:ascii="Times New Roman" w:hAnsi="Times New Roman" w:cs="Times New Roman"/>
          <w:sz w:val="24"/>
          <w:szCs w:val="24"/>
          <w:lang w:eastAsia="en-GB"/>
        </w:rPr>
        <w:t>Similar</w:t>
      </w:r>
      <w:r w:rsidR="00282752">
        <w:rPr>
          <w:rFonts w:ascii="Times New Roman" w:hAnsi="Times New Roman" w:cs="Times New Roman"/>
          <w:sz w:val="24"/>
          <w:szCs w:val="24"/>
          <w:lang w:eastAsia="en-GB"/>
        </w:rPr>
        <w:t>ly</w:t>
      </w:r>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r w:rsidR="00016455" w:rsidRPr="00AB7B0F">
        <w:rPr>
          <w:rFonts w:ascii="Times New Roman" w:hAnsi="Times New Roman" w:cs="Times New Roman"/>
          <w:color w:val="000000"/>
          <w:sz w:val="24"/>
          <w:szCs w:val="24"/>
        </w:rPr>
        <w:t xml:space="preserve">limma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Ritchie, M.E., Phipson, B., Wu, D., Hu, Y., Law, C.W., Shi, W., and Smyth, G.K.(2015). limma powers differential expression analyses for RNA-sequencing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2F9A0955"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r w:rsidR="00AF064E">
        <w:rPr>
          <w:rFonts w:ascii="Times New Roman" w:eastAsia="Times New Roman" w:hAnsi="Times New Roman" w:cs="Times New Roman"/>
          <w:i/>
          <w:iCs/>
          <w:color w:val="auto"/>
          <w:u w:val="single"/>
          <w:lang w:eastAsia="en-GB"/>
        </w:rPr>
        <w:t>changes</w:t>
      </w:r>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3"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MetaboAnalyst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4"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006C42DB"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HMDB identifiers in the aforementioned metabolite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not able to be recognized by PathVisio. These identifiers were then changed to HMDB identifiers that could be recognized by PathViso</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03251DD9"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29456883" w:rsidR="008032C3" w:rsidRPr="008B36FF" w:rsidRDefault="008B36FF"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1693DF0D"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Analysis using PathVisio was done using the combined DA results. An expression criterion of p-value &lt; 0.05 was specified and pathways were sourced from the WikiPathways database of human pathways (</w:t>
      </w:r>
      <w:hyperlink r:id="rId35"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 additional joint pathway analysis using MetaboAnalyst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6"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77777777" w:rsidR="00CF4DA2" w:rsidRDefault="00CF4DA2" w:rsidP="00CF4DA2">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This is especially true since MetaboAnalyst is more adept concerning metabolites but focuses more on enzymes, compared to PathVisio.  </w:t>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720940AA"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significantly altered proteins </w:t>
      </w:r>
      <w:r w:rsidR="001359F4">
        <w:rPr>
          <w:rFonts w:ascii="Times New Roman" w:eastAsia="Times New Roman" w:hAnsi="Times New Roman" w:cs="Times New Roman"/>
          <w:color w:val="000000"/>
          <w:sz w:val="24"/>
          <w:szCs w:val="24"/>
          <w:lang w:eastAsia="en-GB"/>
        </w:rPr>
        <w:t xml:space="preserve">and </w:t>
      </w:r>
      <w:r w:rsidR="003A0EB1">
        <w:rPr>
          <w:rFonts w:ascii="Times New Roman" w:eastAsia="Times New Roman" w:hAnsi="Times New Roman" w:cs="Times New Roman"/>
          <w:color w:val="000000"/>
          <w:sz w:val="24"/>
          <w:szCs w:val="24"/>
          <w:lang w:eastAsia="en-GB"/>
        </w:rPr>
        <w:t>that may have been lost by the overrepresentation analysis</w:t>
      </w:r>
      <w:r w:rsidRPr="00AB7B0F">
        <w:rPr>
          <w:rFonts w:ascii="Times New Roman" w:eastAsia="Times New Roman" w:hAnsi="Times New Roman" w:cs="Times New Roman"/>
          <w:color w:val="000000"/>
          <w:sz w:val="24"/>
          <w:szCs w:val="24"/>
          <w:lang w:eastAsia="en-GB"/>
        </w:rPr>
        <w:t xml:space="preserve">, </w:t>
      </w:r>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7"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executed</w:t>
      </w:r>
      <w:r w:rsidRPr="00AB7B0F">
        <w:rPr>
          <w:rFonts w:ascii="Times New Roman" w:eastAsia="Times New Roman" w:hAnsi="Times New Roman" w:cs="Times New Roman"/>
          <w:color w:val="000000"/>
          <w:sz w:val="24"/>
          <w:szCs w:val="24"/>
          <w:lang w:eastAsia="en-GB"/>
        </w:rPr>
        <w:t xml:space="preserve">. This was done by 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r w:rsidRPr="00AB7B0F">
        <w:rPr>
          <w:rFonts w:ascii="Times New Roman" w:eastAsia="Times New Roman" w:hAnsi="Times New Roman" w:cs="Times New Roman"/>
          <w:color w:val="000000"/>
          <w:sz w:val="24"/>
          <w:szCs w:val="24"/>
          <w:lang w:eastAsia="en-GB"/>
        </w:rPr>
        <w:t>stringApp (</w:t>
      </w:r>
      <w:hyperlink r:id="rId38" w:history="1">
        <w:r>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to include the corresponding </w:t>
      </w:r>
      <w:r w:rsidRPr="00AB7B0F">
        <w:rPr>
          <w:rFonts w:ascii="Times New Roman" w:eastAsia="Times New Roman" w:hAnsi="Times New Roman" w:cs="Times New Roman"/>
          <w:color w:val="000000"/>
          <w:sz w:val="24"/>
          <w:szCs w:val="24"/>
          <w:lang w:eastAsia="en-GB"/>
        </w:rPr>
        <w:lastRenderedPageBreak/>
        <w:t>altered biological pathways by applying the WikiPathways link set using CyTargetLinker (</w:t>
      </w:r>
      <w:hyperlink r:id="rId39"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2"/>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2"/>
      <w:r w:rsidR="000164DC">
        <w:rPr>
          <w:rStyle w:val="CommentReference"/>
        </w:rPr>
        <w:commentReference w:id="2"/>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4FEC945F"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aforementioned PCA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 xml:space="preserve">being included.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more </w:t>
      </w:r>
      <w:r w:rsidR="008E1A68">
        <w:rPr>
          <w:rFonts w:ascii="Times New Roman" w:hAnsi="Times New Roman" w:cs="Times New Roman"/>
          <w:color w:val="000000"/>
          <w:sz w:val="24"/>
          <w:szCs w:val="24"/>
        </w:rPr>
        <w:t xml:space="preserve">sound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3CA93F03"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he filtered phyloseq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Daniela Witten and Rob Tibshirani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(github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Heading2"/>
        <w:spacing w:before="0" w:beforeAutospacing="0" w:after="160" w:afterAutospacing="0"/>
        <w:jc w:val="both"/>
        <w:rPr>
          <w:b w:val="0"/>
          <w:bCs w:val="0"/>
          <w:sz w:val="24"/>
          <w:szCs w:val="24"/>
        </w:rPr>
      </w:pPr>
      <w:r>
        <w:rPr>
          <w:sz w:val="24"/>
          <w:szCs w:val="24"/>
          <w:u w:val="single"/>
        </w:rPr>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and Proteobacteria (Figure 4.D) both being slightly less abundant and the Actinobacteria (Figure 4.A)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try identify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Consistent with the Bacteroidetes mean abundance being lower in the IR group (Figure 4.B),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4.C). </w:t>
      </w:r>
    </w:p>
    <w:p w14:paraId="25BE47D3"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3 of the 10 microbes more abundant in IR and none of those less abundant in IR were Ruminococcus. On the other hand, 2 out of the 10 microbes less abundant in IR and none of those more abundant in IR were Lachnospira.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6178BF9B"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5: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(logFC &lt; 0) and 19 more abundant in the IR condition (logFC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19 more abundant metabolites were sufficiently changed (Table 1). 11 of these 12 sufficiently changed metabolites were lipids/lipid-like molecules with the only exception being glutaric acid. 7 metabolites possessed a significant adjusted p-value with 5 also having a logFC suggesting a sufficient change in abundance (Table 1). </w:t>
      </w:r>
      <w:commentRangeStart w:id="3"/>
      <w:commentRangeStart w:id="4"/>
      <w:r w:rsidR="008716E4">
        <w:rPr>
          <w:rFonts w:ascii="Times New Roman" w:eastAsia="Times New Roman" w:hAnsi="Times New Roman" w:cs="Times New Roman"/>
          <w:color w:val="ED7D31" w:themeColor="accent2"/>
          <w:sz w:val="24"/>
          <w:szCs w:val="24"/>
          <w:lang w:eastAsia="en-GB"/>
        </w:rPr>
        <w:t xml:space="preserve">The remaining 2 metabolites with a logFC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(logFC = -0.327) and </w:t>
      </w:r>
      <w:r w:rsidR="008716E4">
        <w:rPr>
          <w:rFonts w:ascii="Times New Roman" w:hAnsi="Times New Roman" w:cs="Times New Roman"/>
          <w:color w:val="ED7D31" w:themeColor="accent2"/>
          <w:sz w:val="24"/>
          <w:szCs w:val="24"/>
          <w:shd w:val="clear" w:color="auto" w:fill="FFFFFF"/>
        </w:rPr>
        <w:t>hexanoylcarnitine</w:t>
      </w:r>
      <w:r w:rsidR="008716E4">
        <w:rPr>
          <w:rFonts w:ascii="Times New Roman" w:eastAsia="Times New Roman" w:hAnsi="Times New Roman" w:cs="Times New Roman"/>
          <w:color w:val="ED7D31" w:themeColor="accent2"/>
          <w:sz w:val="24"/>
          <w:szCs w:val="24"/>
          <w:lang w:eastAsia="en-GB"/>
        </w:rPr>
        <w:t xml:space="preserve"> (logFC = 0.212)</w:t>
      </w:r>
      <w:commentRangeEnd w:id="3"/>
      <w:r w:rsidR="008716E4">
        <w:rPr>
          <w:rStyle w:val="CommentReference"/>
        </w:rPr>
        <w:commentReference w:id="3"/>
      </w:r>
      <w:commentRangeEnd w:id="4"/>
      <w:r w:rsidR="00A4746A">
        <w:rPr>
          <w:rStyle w:val="CommentReference"/>
        </w:rPr>
        <w:commentReference w:id="4"/>
      </w:r>
      <w:r w:rsidR="008716E4">
        <w:rPr>
          <w:rFonts w:ascii="Times New Roman" w:eastAsia="Times New Roman" w:hAnsi="Times New Roman" w:cs="Times New Roman"/>
          <w:color w:val="000000"/>
          <w:sz w:val="24"/>
          <w:szCs w:val="24"/>
          <w:lang w:eastAsia="en-GB"/>
        </w:rPr>
        <w:t>. </w:t>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LysoPE(0:0/22:6(4Z,7Z,10Z,13Z,16Z,19Z)) (Lysophospholipid)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LysoPE(0:0/16:0) (Lysophospholipid)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LysoPE(P-16:0/0:0)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LysoPE(0:0/20:3(11Z,14Z,17Z)) (Lysophospholipid)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LysoPE(0:0/22:0) (Lysophospholipid)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LysoPC(20:0/0:0) (Lysophospholipid)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w:t>
      </w:r>
      <w:r w:rsidR="00080AF7">
        <w:rPr>
          <w:rFonts w:ascii="Times New Roman" w:eastAsia="Times New Roman" w:hAnsi="Times New Roman" w:cs="Times New Roman"/>
          <w:i/>
          <w:iCs/>
          <w:color w:val="000000"/>
          <w:sz w:val="24"/>
          <w:szCs w:val="24"/>
          <w:lang w:eastAsia="en-GB"/>
        </w:rPr>
        <w:t xml:space="preserve">ll </w:t>
      </w:r>
      <w:r w:rsidR="00080AF7">
        <w:rPr>
          <w:rFonts w:ascii="Times New Roman" w:eastAsia="Times New Roman" w:hAnsi="Times New Roman" w:cs="Times New Roman"/>
          <w:i/>
          <w:iCs/>
          <w:color w:val="000000"/>
          <w:sz w:val="24"/>
          <w:szCs w:val="24"/>
          <w:lang w:eastAsia="en-GB"/>
        </w:rPr>
        <w:t xml:space="preserve">listed </w:t>
      </w:r>
      <w:r w:rsidR="00080AF7">
        <w:rPr>
          <w:rFonts w:ascii="Times New Roman" w:eastAsia="Times New Roman" w:hAnsi="Times New Roman" w:cs="Times New Roman"/>
          <w:i/>
          <w:iCs/>
          <w:color w:val="000000"/>
          <w:sz w:val="24"/>
          <w:szCs w:val="24"/>
          <w:lang w:eastAsia="en-GB"/>
        </w:rPr>
        <w:t>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r w:rsidR="00001B10">
        <w:rPr>
          <w:rFonts w:ascii="Times New Roman" w:eastAsia="Times New Roman" w:hAnsi="Times New Roman" w:cs="Times New Roman"/>
          <w:i/>
          <w:iCs/>
          <w:color w:val="000000"/>
          <w:sz w:val="24"/>
          <w:szCs w:val="24"/>
          <w:lang w:eastAsia="en-GB"/>
        </w:rPr>
        <w:t xml:space="preserve">logFC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 xml:space="preserve">Identification of differences in </w:t>
      </w:r>
      <w:r>
        <w:rPr>
          <w:rFonts w:ascii="Times New Roman" w:eastAsia="Times New Roman" w:hAnsi="Times New Roman" w:cs="Times New Roman"/>
          <w:i/>
          <w:iCs/>
          <w:color w:val="auto"/>
          <w:u w:val="single"/>
          <w:lang w:eastAsia="en-GB"/>
        </w:rPr>
        <w:t>proteome</w:t>
      </w:r>
      <w:r>
        <w:rPr>
          <w:rFonts w:ascii="Times New Roman" w:eastAsia="Times New Roman" w:hAnsi="Times New Roman" w:cs="Times New Roman"/>
          <w:i/>
          <w:iCs/>
          <w:color w:val="auto"/>
          <w:u w:val="single"/>
          <w:lang w:eastAsia="en-GB"/>
        </w:rPr>
        <w:t xml:space="preserve"> of IR and IS subjects</w:t>
      </w:r>
    </w:p>
    <w:p w14:paraId="29914B32" w14:textId="3D05B61A"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When a sufficient change was deemed to be a logFC &gt; 0.50 or &lt; -0.50, 3 of the significantly altered proteins remained: LPA and SHBG were both less abundant in the IR condition (logFC = -1.074 and -0.522, respectively) while APOC4 was more abundant in the IR condition (logFC = 0.624). Despite these proteins having significant p-values, it should be noted that none possessed a significant adjusted p-value.</w:t>
      </w:r>
    </w:p>
    <w:p w14:paraId="573C5979" w14:textId="6F083976"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01A2F556"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criteria but none contained both proteins and metabolites with a p &lt; 0.05 (Table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Pseudo-ChE</w:t>
            </w:r>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IL-1 signaling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(CHECK)</w:t>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Phosphodiesterases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r w:rsidRPr="007C21A5">
              <w:rPr>
                <w:rFonts w:ascii="Times New Roman" w:eastAsia="Times New Roman" w:hAnsi="Times New Roman" w:cs="Times New Roman"/>
                <w:color w:val="000000"/>
                <w:sz w:val="24"/>
                <w:szCs w:val="24"/>
                <w:shd w:val="clear" w:color="auto" w:fill="FFFFFF"/>
                <w:lang w:eastAsia="en-GB"/>
              </w:rPr>
              <w:t>Sphinganine</w:t>
            </w:r>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Vitamin D-sensitive calcium signaling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LysoPC(20:0/0:0)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7A2D5009"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while 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from the combined pathway analysis using MetaboAnalyst</w:t>
      </w:r>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lang w:eastAsia="en-GB"/>
              </w:rPr>
              <w:t>Sphinganine</w:t>
            </w:r>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w:t>
      </w:r>
      <w:r>
        <w:rPr>
          <w:rFonts w:ascii="Times New Roman" w:eastAsia="Times New Roman" w:hAnsi="Times New Roman" w:cs="Times New Roman"/>
          <w:i/>
          <w:iCs/>
          <w:color w:val="000000"/>
          <w:sz w:val="24"/>
          <w:szCs w:val="24"/>
          <w:lang w:eastAsia="en-GB"/>
        </w:rPr>
        <w:t xml:space="preserve">. </w:t>
      </w:r>
      <w:r>
        <w:rPr>
          <w:rFonts w:ascii="Times New Roman" w:eastAsia="Times New Roman" w:hAnsi="Times New Roman" w:cs="Times New Roman"/>
          <w:i/>
          <w:iCs/>
          <w:color w:val="000000"/>
          <w:sz w:val="24"/>
          <w:szCs w:val="24"/>
          <w:lang w:eastAsia="en-GB"/>
        </w:rPr>
        <w:t>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5A42AE8"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 xml:space="preserve">more abundant in the IR condition compared to the IS condition (logFC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r w:rsidR="00722B83">
        <w:rPr>
          <w:rFonts w:ascii="Times New Roman" w:eastAsia="Times New Roman" w:hAnsi="Times New Roman" w:cs="Times New Roman"/>
          <w:color w:val="000000"/>
          <w:sz w:val="24"/>
          <w:szCs w:val="24"/>
          <w:lang w:eastAsia="en-GB"/>
        </w:rPr>
        <w:t>wich were less abundant in the IR condition (logFC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microbes were Firmicutes. This coincides with the absolute phylum abundances in each sample since a large proportion of all samples contained microbes belonging to the Firmicutes phylum (Figure 3). 6 of the 13 Firmicutes were Faecalibacterium prausnitzii, 3 were Oscillospira and 2 Coprococcus, with the remaining 2 taxa being Dorea and Blautia producta.</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Heading2"/>
        <w:jc w:val="both"/>
        <w:rPr>
          <w:sz w:val="24"/>
          <w:szCs w:val="24"/>
          <w:u w:val="single"/>
        </w:rPr>
      </w:pPr>
      <w:r>
        <w:rPr>
          <w:sz w:val="24"/>
          <w:szCs w:val="24"/>
          <w:u w:val="single"/>
        </w:rPr>
        <w:lastRenderedPageBreak/>
        <w:t>Appendix</w:t>
      </w:r>
    </w:p>
    <w:p w14:paraId="10031E5C" w14:textId="73B84CF9" w:rsidR="00226E3C"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p>
    <w:p w14:paraId="02768569" w14:textId="4C83E8F3" w:rsidR="00172257"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5"/>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Heading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Heading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Heading3"/>
        <w:rPr>
          <w:rFonts w:ascii="Times New Roman" w:hAnsi="Times New Roman" w:cs="Times New Roman"/>
          <w:color w:val="auto"/>
        </w:rPr>
      </w:pPr>
      <w:r>
        <w:rPr>
          <w:rFonts w:ascii="Times New Roman" w:hAnsi="Times New Roman" w:cs="Times New Roman"/>
          <w:i/>
          <w:iCs/>
          <w:color w:val="auto"/>
          <w:u w:val="single"/>
        </w:rPr>
        <w:lastRenderedPageBreak/>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786265">
        <w:trPr>
          <w:trHeight w:val="290"/>
        </w:trPr>
        <w:tc>
          <w:tcPr>
            <w:tcW w:w="5949" w:type="dxa"/>
            <w:shd w:val="clear" w:color="auto" w:fill="auto"/>
            <w:noWrap/>
            <w:vAlign w:val="bottom"/>
            <w:hideMark/>
          </w:tcPr>
          <w:p w14:paraId="0F73C1CF" w14:textId="77777777" w:rsidR="00927A13" w:rsidRPr="00B12074"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logFC</w:t>
            </w:r>
          </w:p>
        </w:tc>
        <w:tc>
          <w:tcPr>
            <w:tcW w:w="993" w:type="dxa"/>
            <w:shd w:val="clear" w:color="auto" w:fill="auto"/>
            <w:noWrap/>
            <w:vAlign w:val="bottom"/>
            <w:hideMark/>
          </w:tcPr>
          <w:p w14:paraId="0E141B6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786265">
        <w:trPr>
          <w:trHeight w:val="290"/>
        </w:trPr>
        <w:tc>
          <w:tcPr>
            <w:tcW w:w="5949" w:type="dxa"/>
            <w:shd w:val="clear" w:color="auto" w:fill="auto"/>
            <w:noWrap/>
            <w:vAlign w:val="bottom"/>
            <w:hideMark/>
          </w:tcPr>
          <w:p w14:paraId="5C7447B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786265">
        <w:trPr>
          <w:trHeight w:val="290"/>
        </w:trPr>
        <w:tc>
          <w:tcPr>
            <w:tcW w:w="5949" w:type="dxa"/>
            <w:shd w:val="clear" w:color="auto" w:fill="auto"/>
            <w:noWrap/>
            <w:vAlign w:val="bottom"/>
            <w:hideMark/>
          </w:tcPr>
          <w:p w14:paraId="064B964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LysoPE(0:0/22:6(4Z,7Z,10Z,13Z,16Z,19Z))</w:t>
            </w:r>
          </w:p>
        </w:tc>
        <w:tc>
          <w:tcPr>
            <w:tcW w:w="850" w:type="dxa"/>
            <w:shd w:val="clear" w:color="auto" w:fill="auto"/>
            <w:noWrap/>
            <w:vAlign w:val="bottom"/>
            <w:hideMark/>
          </w:tcPr>
          <w:p w14:paraId="0A40899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786265">
        <w:trPr>
          <w:trHeight w:val="290"/>
        </w:trPr>
        <w:tc>
          <w:tcPr>
            <w:tcW w:w="5949" w:type="dxa"/>
            <w:shd w:val="clear" w:color="auto" w:fill="auto"/>
            <w:noWrap/>
            <w:vAlign w:val="bottom"/>
            <w:hideMark/>
          </w:tcPr>
          <w:p w14:paraId="51366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Hexanoylcarnitine</w:t>
            </w:r>
          </w:p>
        </w:tc>
        <w:tc>
          <w:tcPr>
            <w:tcW w:w="850" w:type="dxa"/>
            <w:shd w:val="clear" w:color="auto" w:fill="auto"/>
            <w:noWrap/>
            <w:vAlign w:val="bottom"/>
            <w:hideMark/>
          </w:tcPr>
          <w:p w14:paraId="14026F0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786265">
        <w:trPr>
          <w:trHeight w:val="290"/>
        </w:trPr>
        <w:tc>
          <w:tcPr>
            <w:tcW w:w="5949" w:type="dxa"/>
            <w:shd w:val="clear" w:color="auto" w:fill="auto"/>
            <w:noWrap/>
            <w:vAlign w:val="bottom"/>
            <w:hideMark/>
          </w:tcPr>
          <w:p w14:paraId="16CDD53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786265">
        <w:trPr>
          <w:trHeight w:val="290"/>
        </w:trPr>
        <w:tc>
          <w:tcPr>
            <w:tcW w:w="5949" w:type="dxa"/>
            <w:shd w:val="clear" w:color="auto" w:fill="auto"/>
            <w:noWrap/>
            <w:vAlign w:val="bottom"/>
            <w:hideMark/>
          </w:tcPr>
          <w:p w14:paraId="0EF44BA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Androsterone sulfate</w:t>
            </w:r>
          </w:p>
        </w:tc>
        <w:tc>
          <w:tcPr>
            <w:tcW w:w="850" w:type="dxa"/>
            <w:shd w:val="clear" w:color="auto" w:fill="auto"/>
            <w:noWrap/>
            <w:vAlign w:val="bottom"/>
            <w:hideMark/>
          </w:tcPr>
          <w:p w14:paraId="418DEA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786265">
        <w:trPr>
          <w:trHeight w:val="290"/>
        </w:trPr>
        <w:tc>
          <w:tcPr>
            <w:tcW w:w="5949" w:type="dxa"/>
            <w:shd w:val="clear" w:color="auto" w:fill="auto"/>
            <w:noWrap/>
            <w:vAlign w:val="bottom"/>
            <w:hideMark/>
          </w:tcPr>
          <w:p w14:paraId="1919C5E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786265">
        <w:trPr>
          <w:trHeight w:val="290"/>
        </w:trPr>
        <w:tc>
          <w:tcPr>
            <w:tcW w:w="5949" w:type="dxa"/>
            <w:shd w:val="clear" w:color="auto" w:fill="auto"/>
            <w:noWrap/>
            <w:vAlign w:val="bottom"/>
            <w:hideMark/>
          </w:tcPr>
          <w:p w14:paraId="0B14F4B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LysoPE(P-16:0/0:0)</w:t>
            </w:r>
          </w:p>
        </w:tc>
        <w:tc>
          <w:tcPr>
            <w:tcW w:w="850" w:type="dxa"/>
            <w:shd w:val="clear" w:color="auto" w:fill="auto"/>
            <w:noWrap/>
            <w:vAlign w:val="bottom"/>
            <w:hideMark/>
          </w:tcPr>
          <w:p w14:paraId="472456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786265">
        <w:trPr>
          <w:trHeight w:val="290"/>
        </w:trPr>
        <w:tc>
          <w:tcPr>
            <w:tcW w:w="5949" w:type="dxa"/>
            <w:shd w:val="clear" w:color="auto" w:fill="auto"/>
            <w:noWrap/>
            <w:vAlign w:val="bottom"/>
            <w:hideMark/>
          </w:tcPr>
          <w:p w14:paraId="25BEDA0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786265">
        <w:trPr>
          <w:trHeight w:val="290"/>
        </w:trPr>
        <w:tc>
          <w:tcPr>
            <w:tcW w:w="5949" w:type="dxa"/>
            <w:shd w:val="clear" w:color="auto" w:fill="auto"/>
            <w:noWrap/>
            <w:vAlign w:val="bottom"/>
            <w:hideMark/>
          </w:tcPr>
          <w:p w14:paraId="043CEE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786265">
        <w:trPr>
          <w:trHeight w:val="290"/>
        </w:trPr>
        <w:tc>
          <w:tcPr>
            <w:tcW w:w="5949" w:type="dxa"/>
            <w:shd w:val="clear" w:color="auto" w:fill="auto"/>
            <w:noWrap/>
            <w:vAlign w:val="bottom"/>
            <w:hideMark/>
          </w:tcPr>
          <w:p w14:paraId="182B23B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786265">
        <w:trPr>
          <w:trHeight w:val="290"/>
        </w:trPr>
        <w:tc>
          <w:tcPr>
            <w:tcW w:w="5949" w:type="dxa"/>
            <w:shd w:val="clear" w:color="auto" w:fill="auto"/>
            <w:noWrap/>
            <w:vAlign w:val="bottom"/>
            <w:hideMark/>
          </w:tcPr>
          <w:p w14:paraId="4E1776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LysoPE(0:0/16:1(9Z))</w:t>
            </w:r>
          </w:p>
        </w:tc>
        <w:tc>
          <w:tcPr>
            <w:tcW w:w="850" w:type="dxa"/>
            <w:shd w:val="clear" w:color="auto" w:fill="auto"/>
            <w:noWrap/>
            <w:vAlign w:val="bottom"/>
            <w:hideMark/>
          </w:tcPr>
          <w:p w14:paraId="79F60CE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786265">
        <w:trPr>
          <w:trHeight w:val="290"/>
        </w:trPr>
        <w:tc>
          <w:tcPr>
            <w:tcW w:w="5949" w:type="dxa"/>
            <w:shd w:val="clear" w:color="auto" w:fill="auto"/>
            <w:noWrap/>
            <w:vAlign w:val="bottom"/>
            <w:hideMark/>
          </w:tcPr>
          <w:p w14:paraId="1D756CA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LysoPC(20:4(5Z,8Z,11Z,14Z))</w:t>
            </w:r>
          </w:p>
        </w:tc>
        <w:tc>
          <w:tcPr>
            <w:tcW w:w="850" w:type="dxa"/>
            <w:shd w:val="clear" w:color="auto" w:fill="auto"/>
            <w:noWrap/>
            <w:vAlign w:val="bottom"/>
            <w:hideMark/>
          </w:tcPr>
          <w:p w14:paraId="7CE83A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786265">
        <w:trPr>
          <w:trHeight w:val="290"/>
        </w:trPr>
        <w:tc>
          <w:tcPr>
            <w:tcW w:w="5949" w:type="dxa"/>
            <w:shd w:val="clear" w:color="auto" w:fill="auto"/>
            <w:noWrap/>
            <w:vAlign w:val="bottom"/>
            <w:hideMark/>
          </w:tcPr>
          <w:p w14:paraId="4791726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t>LysoPE(0:0/20:3(11Z,14Z,17Z))</w:t>
            </w:r>
          </w:p>
        </w:tc>
        <w:tc>
          <w:tcPr>
            <w:tcW w:w="850" w:type="dxa"/>
            <w:shd w:val="clear" w:color="auto" w:fill="auto"/>
            <w:noWrap/>
            <w:vAlign w:val="bottom"/>
            <w:hideMark/>
          </w:tcPr>
          <w:p w14:paraId="31DFA8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786265">
        <w:trPr>
          <w:trHeight w:val="290"/>
        </w:trPr>
        <w:tc>
          <w:tcPr>
            <w:tcW w:w="5949" w:type="dxa"/>
            <w:shd w:val="clear" w:color="auto" w:fill="auto"/>
            <w:noWrap/>
            <w:vAlign w:val="bottom"/>
            <w:hideMark/>
          </w:tcPr>
          <w:p w14:paraId="0A0CD11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Gentisic acid</w:t>
            </w:r>
          </w:p>
        </w:tc>
        <w:tc>
          <w:tcPr>
            <w:tcW w:w="850" w:type="dxa"/>
            <w:shd w:val="clear" w:color="auto" w:fill="auto"/>
            <w:noWrap/>
            <w:vAlign w:val="bottom"/>
            <w:hideMark/>
          </w:tcPr>
          <w:p w14:paraId="2AC95E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786265">
        <w:trPr>
          <w:trHeight w:val="290"/>
        </w:trPr>
        <w:tc>
          <w:tcPr>
            <w:tcW w:w="5949" w:type="dxa"/>
            <w:shd w:val="clear" w:color="auto" w:fill="auto"/>
            <w:noWrap/>
            <w:vAlign w:val="bottom"/>
            <w:hideMark/>
          </w:tcPr>
          <w:p w14:paraId="0BF496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Acetylcarnosine</w:t>
            </w:r>
          </w:p>
        </w:tc>
        <w:tc>
          <w:tcPr>
            <w:tcW w:w="850" w:type="dxa"/>
            <w:shd w:val="clear" w:color="auto" w:fill="auto"/>
            <w:noWrap/>
            <w:vAlign w:val="bottom"/>
            <w:hideMark/>
          </w:tcPr>
          <w:p w14:paraId="62AFC97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786265">
        <w:trPr>
          <w:trHeight w:val="290"/>
        </w:trPr>
        <w:tc>
          <w:tcPr>
            <w:tcW w:w="5949" w:type="dxa"/>
            <w:shd w:val="clear" w:color="auto" w:fill="auto"/>
            <w:noWrap/>
            <w:vAlign w:val="bottom"/>
            <w:hideMark/>
          </w:tcPr>
          <w:p w14:paraId="3BD62E20"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786265">
        <w:trPr>
          <w:trHeight w:val="290"/>
        </w:trPr>
        <w:tc>
          <w:tcPr>
            <w:tcW w:w="5949" w:type="dxa"/>
            <w:shd w:val="clear" w:color="auto" w:fill="auto"/>
            <w:noWrap/>
            <w:vAlign w:val="bottom"/>
            <w:hideMark/>
          </w:tcPr>
          <w:p w14:paraId="24B8DB3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786265">
        <w:trPr>
          <w:trHeight w:val="290"/>
        </w:trPr>
        <w:tc>
          <w:tcPr>
            <w:tcW w:w="5949" w:type="dxa"/>
            <w:shd w:val="clear" w:color="auto" w:fill="auto"/>
            <w:noWrap/>
            <w:vAlign w:val="bottom"/>
            <w:hideMark/>
          </w:tcPr>
          <w:p w14:paraId="508A691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786265">
        <w:trPr>
          <w:trHeight w:val="290"/>
        </w:trPr>
        <w:tc>
          <w:tcPr>
            <w:tcW w:w="5949" w:type="dxa"/>
            <w:shd w:val="clear" w:color="auto" w:fill="auto"/>
            <w:noWrap/>
            <w:vAlign w:val="bottom"/>
            <w:hideMark/>
          </w:tcPr>
          <w:p w14:paraId="28D5EF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t>LysoPE(0:0/16:0)</w:t>
            </w:r>
          </w:p>
        </w:tc>
        <w:tc>
          <w:tcPr>
            <w:tcW w:w="850" w:type="dxa"/>
            <w:shd w:val="clear" w:color="auto" w:fill="auto"/>
            <w:noWrap/>
            <w:vAlign w:val="bottom"/>
            <w:hideMark/>
          </w:tcPr>
          <w:p w14:paraId="325575D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786265">
        <w:trPr>
          <w:trHeight w:val="290"/>
        </w:trPr>
        <w:tc>
          <w:tcPr>
            <w:tcW w:w="5949" w:type="dxa"/>
            <w:shd w:val="clear" w:color="auto" w:fill="auto"/>
            <w:noWrap/>
            <w:vAlign w:val="bottom"/>
            <w:hideMark/>
          </w:tcPr>
          <w:p w14:paraId="2A3E48C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786265">
        <w:trPr>
          <w:trHeight w:val="290"/>
        </w:trPr>
        <w:tc>
          <w:tcPr>
            <w:tcW w:w="5949" w:type="dxa"/>
            <w:shd w:val="clear" w:color="auto" w:fill="auto"/>
            <w:noWrap/>
            <w:vAlign w:val="bottom"/>
            <w:hideMark/>
          </w:tcPr>
          <w:p w14:paraId="6D927A2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786265">
        <w:trPr>
          <w:trHeight w:val="290"/>
        </w:trPr>
        <w:tc>
          <w:tcPr>
            <w:tcW w:w="5949" w:type="dxa"/>
            <w:shd w:val="clear" w:color="auto" w:fill="auto"/>
            <w:noWrap/>
            <w:vAlign w:val="bottom"/>
            <w:hideMark/>
          </w:tcPr>
          <w:p w14:paraId="5E8576F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LysoPE(0:0/22:0)</w:t>
            </w:r>
          </w:p>
        </w:tc>
        <w:tc>
          <w:tcPr>
            <w:tcW w:w="850" w:type="dxa"/>
            <w:shd w:val="clear" w:color="auto" w:fill="auto"/>
            <w:noWrap/>
            <w:vAlign w:val="bottom"/>
            <w:hideMark/>
          </w:tcPr>
          <w:p w14:paraId="4A71E29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786265">
        <w:trPr>
          <w:trHeight w:val="290"/>
        </w:trPr>
        <w:tc>
          <w:tcPr>
            <w:tcW w:w="5949" w:type="dxa"/>
            <w:shd w:val="clear" w:color="auto" w:fill="auto"/>
            <w:noWrap/>
            <w:vAlign w:val="bottom"/>
            <w:hideMark/>
          </w:tcPr>
          <w:p w14:paraId="21E9662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786265">
        <w:trPr>
          <w:trHeight w:val="290"/>
        </w:trPr>
        <w:tc>
          <w:tcPr>
            <w:tcW w:w="5949" w:type="dxa"/>
            <w:shd w:val="clear" w:color="auto" w:fill="auto"/>
            <w:noWrap/>
            <w:vAlign w:val="bottom"/>
            <w:hideMark/>
          </w:tcPr>
          <w:p w14:paraId="7A35CDD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786265">
        <w:trPr>
          <w:trHeight w:val="290"/>
        </w:trPr>
        <w:tc>
          <w:tcPr>
            <w:tcW w:w="5949" w:type="dxa"/>
            <w:shd w:val="clear" w:color="auto" w:fill="auto"/>
            <w:noWrap/>
            <w:vAlign w:val="bottom"/>
            <w:hideMark/>
          </w:tcPr>
          <w:p w14:paraId="230023B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Sphinganine</w:t>
            </w:r>
          </w:p>
        </w:tc>
        <w:tc>
          <w:tcPr>
            <w:tcW w:w="850" w:type="dxa"/>
            <w:shd w:val="clear" w:color="auto" w:fill="auto"/>
            <w:noWrap/>
            <w:vAlign w:val="bottom"/>
            <w:hideMark/>
          </w:tcPr>
          <w:p w14:paraId="39A3178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786265">
        <w:trPr>
          <w:trHeight w:val="290"/>
        </w:trPr>
        <w:tc>
          <w:tcPr>
            <w:tcW w:w="5949" w:type="dxa"/>
            <w:shd w:val="clear" w:color="auto" w:fill="auto"/>
            <w:noWrap/>
            <w:vAlign w:val="bottom"/>
            <w:hideMark/>
          </w:tcPr>
          <w:p w14:paraId="05477E8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Propenoylcarnitine</w:t>
            </w:r>
          </w:p>
        </w:tc>
        <w:tc>
          <w:tcPr>
            <w:tcW w:w="850" w:type="dxa"/>
            <w:shd w:val="clear" w:color="auto" w:fill="auto"/>
            <w:noWrap/>
            <w:vAlign w:val="bottom"/>
            <w:hideMark/>
          </w:tcPr>
          <w:p w14:paraId="40BCBE4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786265">
        <w:trPr>
          <w:trHeight w:val="290"/>
        </w:trPr>
        <w:tc>
          <w:tcPr>
            <w:tcW w:w="5949" w:type="dxa"/>
            <w:shd w:val="clear" w:color="auto" w:fill="auto"/>
            <w:noWrap/>
            <w:vAlign w:val="bottom"/>
            <w:hideMark/>
          </w:tcPr>
          <w:p w14:paraId="36F1537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Palmitoylglycine</w:t>
            </w:r>
          </w:p>
        </w:tc>
        <w:tc>
          <w:tcPr>
            <w:tcW w:w="850" w:type="dxa"/>
            <w:shd w:val="clear" w:color="auto" w:fill="auto"/>
            <w:noWrap/>
            <w:vAlign w:val="bottom"/>
            <w:hideMark/>
          </w:tcPr>
          <w:p w14:paraId="16478AF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786265">
        <w:trPr>
          <w:trHeight w:val="290"/>
        </w:trPr>
        <w:tc>
          <w:tcPr>
            <w:tcW w:w="5949" w:type="dxa"/>
            <w:shd w:val="clear" w:color="auto" w:fill="auto"/>
            <w:noWrap/>
            <w:vAlign w:val="bottom"/>
            <w:hideMark/>
          </w:tcPr>
          <w:p w14:paraId="3EAF42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Phenylalanylphenylalanine (Phe-Phe)</w:t>
            </w:r>
          </w:p>
        </w:tc>
        <w:tc>
          <w:tcPr>
            <w:tcW w:w="850" w:type="dxa"/>
            <w:shd w:val="clear" w:color="auto" w:fill="auto"/>
            <w:noWrap/>
            <w:vAlign w:val="bottom"/>
            <w:hideMark/>
          </w:tcPr>
          <w:p w14:paraId="61027E7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786265">
        <w:trPr>
          <w:trHeight w:val="290"/>
        </w:trPr>
        <w:tc>
          <w:tcPr>
            <w:tcW w:w="5949" w:type="dxa"/>
            <w:shd w:val="clear" w:color="auto" w:fill="auto"/>
            <w:noWrap/>
            <w:vAlign w:val="bottom"/>
            <w:hideMark/>
          </w:tcPr>
          <w:p w14:paraId="69960D5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786265">
        <w:trPr>
          <w:trHeight w:val="290"/>
        </w:trPr>
        <w:tc>
          <w:tcPr>
            <w:tcW w:w="5949" w:type="dxa"/>
            <w:shd w:val="clear" w:color="auto" w:fill="auto"/>
            <w:noWrap/>
            <w:vAlign w:val="bottom"/>
            <w:hideMark/>
          </w:tcPr>
          <w:p w14:paraId="2DCD070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t>LysoPE(0:0/20:4(5Z,8Z,11Z,14Z))</w:t>
            </w:r>
          </w:p>
        </w:tc>
        <w:tc>
          <w:tcPr>
            <w:tcW w:w="850" w:type="dxa"/>
            <w:shd w:val="clear" w:color="auto" w:fill="auto"/>
            <w:noWrap/>
            <w:vAlign w:val="bottom"/>
            <w:hideMark/>
          </w:tcPr>
          <w:p w14:paraId="2D948E8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786265">
        <w:trPr>
          <w:trHeight w:val="290"/>
        </w:trPr>
        <w:tc>
          <w:tcPr>
            <w:tcW w:w="5949" w:type="dxa"/>
            <w:shd w:val="clear" w:color="auto" w:fill="auto"/>
            <w:noWrap/>
            <w:vAlign w:val="bottom"/>
            <w:hideMark/>
          </w:tcPr>
          <w:p w14:paraId="40D43C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786265">
        <w:trPr>
          <w:trHeight w:val="290"/>
        </w:trPr>
        <w:tc>
          <w:tcPr>
            <w:tcW w:w="5949" w:type="dxa"/>
            <w:shd w:val="clear" w:color="auto" w:fill="auto"/>
            <w:noWrap/>
            <w:vAlign w:val="bottom"/>
            <w:hideMark/>
          </w:tcPr>
          <w:p w14:paraId="6EE1DA9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786265">
        <w:trPr>
          <w:trHeight w:val="290"/>
        </w:trPr>
        <w:tc>
          <w:tcPr>
            <w:tcW w:w="5949" w:type="dxa"/>
            <w:shd w:val="clear" w:color="auto" w:fill="auto"/>
            <w:noWrap/>
            <w:vAlign w:val="bottom"/>
            <w:hideMark/>
          </w:tcPr>
          <w:p w14:paraId="1698486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L-Glutamic acid (</w:t>
            </w:r>
            <w:r>
              <w:rPr>
                <w:rStyle w:val="Strong"/>
                <w:rFonts w:ascii="Times New Roman" w:hAnsi="Times New Roman" w:cs="Times New Roman"/>
                <w:b w:val="0"/>
                <w:bCs w:val="0"/>
                <w:color w:val="333333"/>
                <w:sz w:val="24"/>
                <w:szCs w:val="24"/>
                <w:shd w:val="clear" w:color="auto" w:fill="FFFFFF"/>
              </w:rPr>
              <w:t>L</w:t>
            </w:r>
            <w:r>
              <w:rPr>
                <w:rStyle w:val="Strong"/>
                <w:color w:val="333333"/>
                <w:shd w:val="clear" w:color="auto" w:fill="FFFFFF"/>
              </w:rPr>
              <w:t>-</w:t>
            </w:r>
            <w:r w:rsidRPr="00A82423">
              <w:rPr>
                <w:rStyle w:val="Strong"/>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786265">
        <w:trPr>
          <w:trHeight w:val="290"/>
        </w:trPr>
        <w:tc>
          <w:tcPr>
            <w:tcW w:w="5949" w:type="dxa"/>
            <w:shd w:val="clear" w:color="auto" w:fill="auto"/>
            <w:noWrap/>
            <w:vAlign w:val="bottom"/>
            <w:hideMark/>
          </w:tcPr>
          <w:p w14:paraId="63CFC93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Prolylhydroxyproline</w:t>
            </w:r>
          </w:p>
        </w:tc>
        <w:tc>
          <w:tcPr>
            <w:tcW w:w="850" w:type="dxa"/>
            <w:shd w:val="clear" w:color="auto" w:fill="auto"/>
            <w:noWrap/>
            <w:vAlign w:val="bottom"/>
            <w:hideMark/>
          </w:tcPr>
          <w:p w14:paraId="27B9436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786265">
        <w:trPr>
          <w:trHeight w:val="290"/>
        </w:trPr>
        <w:tc>
          <w:tcPr>
            <w:tcW w:w="5949" w:type="dxa"/>
            <w:shd w:val="clear" w:color="auto" w:fill="auto"/>
            <w:noWrap/>
            <w:vAlign w:val="bottom"/>
            <w:hideMark/>
          </w:tcPr>
          <w:p w14:paraId="5E73593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LysoPC(20:0/0:0) </w:t>
            </w:r>
          </w:p>
        </w:tc>
        <w:tc>
          <w:tcPr>
            <w:tcW w:w="850" w:type="dxa"/>
            <w:shd w:val="clear" w:color="auto" w:fill="auto"/>
            <w:noWrap/>
            <w:vAlign w:val="bottom"/>
            <w:hideMark/>
          </w:tcPr>
          <w:p w14:paraId="6DD03AF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786265">
        <w:trPr>
          <w:trHeight w:val="290"/>
        </w:trPr>
        <w:tc>
          <w:tcPr>
            <w:tcW w:w="5949" w:type="dxa"/>
            <w:shd w:val="clear" w:color="auto" w:fill="auto"/>
            <w:noWrap/>
            <w:vAlign w:val="bottom"/>
            <w:hideMark/>
          </w:tcPr>
          <w:p w14:paraId="40E98194"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786265">
        <w:trPr>
          <w:trHeight w:val="290"/>
        </w:trPr>
        <w:tc>
          <w:tcPr>
            <w:tcW w:w="5949" w:type="dxa"/>
            <w:shd w:val="clear" w:color="auto" w:fill="auto"/>
            <w:noWrap/>
            <w:vAlign w:val="bottom"/>
            <w:hideMark/>
          </w:tcPr>
          <w:p w14:paraId="4C89C6B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786265">
        <w:trPr>
          <w:trHeight w:val="290"/>
        </w:trPr>
        <w:tc>
          <w:tcPr>
            <w:tcW w:w="5949" w:type="dxa"/>
            <w:shd w:val="clear" w:color="auto" w:fill="auto"/>
            <w:noWrap/>
            <w:vAlign w:val="bottom"/>
            <w:hideMark/>
          </w:tcPr>
          <w:p w14:paraId="5A7D27E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t>Decanoylcarnitine</w:t>
            </w:r>
          </w:p>
        </w:tc>
        <w:tc>
          <w:tcPr>
            <w:tcW w:w="850" w:type="dxa"/>
            <w:shd w:val="clear" w:color="auto" w:fill="auto"/>
            <w:noWrap/>
            <w:vAlign w:val="bottom"/>
            <w:hideMark/>
          </w:tcPr>
          <w:p w14:paraId="0E7005B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786265">
        <w:trPr>
          <w:trHeight w:val="290"/>
        </w:trPr>
        <w:tc>
          <w:tcPr>
            <w:tcW w:w="5949" w:type="dxa"/>
            <w:shd w:val="clear" w:color="auto" w:fill="auto"/>
            <w:noWrap/>
            <w:vAlign w:val="bottom"/>
            <w:hideMark/>
          </w:tcPr>
          <w:p w14:paraId="6024C789"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786265">
        <w:trPr>
          <w:trHeight w:val="290"/>
        </w:trPr>
        <w:tc>
          <w:tcPr>
            <w:tcW w:w="5949" w:type="dxa"/>
            <w:shd w:val="clear" w:color="auto" w:fill="auto"/>
            <w:noWrap/>
            <w:vAlign w:val="bottom"/>
            <w:hideMark/>
          </w:tcPr>
          <w:p w14:paraId="61C3C2F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t>Piperine</w:t>
            </w:r>
          </w:p>
        </w:tc>
        <w:tc>
          <w:tcPr>
            <w:tcW w:w="850" w:type="dxa"/>
            <w:shd w:val="clear" w:color="auto" w:fill="auto"/>
            <w:noWrap/>
            <w:vAlign w:val="bottom"/>
            <w:hideMark/>
          </w:tcPr>
          <w:p w14:paraId="2E1A4AC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logFC,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Heading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w:t>
      </w:r>
      <w:r>
        <w:rPr>
          <w:rFonts w:ascii="Times New Roman" w:hAnsi="Times New Roman" w:cs="Times New Roman"/>
          <w:sz w:val="24"/>
          <w:szCs w:val="24"/>
        </w:rPr>
        <w:t>proteins</w:t>
      </w:r>
      <w:r>
        <w:rPr>
          <w:rFonts w:ascii="Times New Roman" w:hAnsi="Times New Roman" w:cs="Times New Roman"/>
          <w:sz w:val="24"/>
          <w:szCs w:val="24"/>
        </w:rPr>
        <w:t xml:space="preserve">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logFC</w:t>
            </w:r>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proteins</w:t>
      </w:r>
      <w:r>
        <w:rPr>
          <w:rFonts w:ascii="Times New Roman" w:hAnsi="Times New Roman" w:cs="Times New Roman"/>
          <w:sz w:val="24"/>
          <w:szCs w:val="24"/>
        </w:rPr>
        <w:t xml:space="preserve">, the associated </w:t>
      </w:r>
      <w:r>
        <w:rPr>
          <w:rFonts w:ascii="Times New Roman" w:hAnsi="Times New Roman" w:cs="Times New Roman"/>
          <w:sz w:val="24"/>
          <w:szCs w:val="24"/>
        </w:rPr>
        <w:t>HGNC</w:t>
      </w:r>
      <w:r>
        <w:rPr>
          <w:rFonts w:ascii="Times New Roman" w:hAnsi="Times New Roman" w:cs="Times New Roman"/>
          <w:sz w:val="24"/>
          <w:szCs w:val="24"/>
        </w:rPr>
        <w:t xml:space="preserve"> identifier, logFC, p-value and adjusted p-value are given</w:t>
      </w:r>
      <w:r>
        <w:rPr>
          <w:rFonts w:ascii="Times New Roman" w:hAnsi="Times New Roman" w:cs="Times New Roman"/>
          <w:sz w:val="24"/>
          <w:szCs w:val="24"/>
        </w:rPr>
        <w:t>.</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7T16:37:00Z" w:initials="SDO">
    <w:p w14:paraId="0051B844" w14:textId="6098F791" w:rsidR="003513CF" w:rsidRDefault="003513CF">
      <w:pPr>
        <w:pStyle w:val="CommentText"/>
      </w:pPr>
      <w:r>
        <w:rPr>
          <w:rStyle w:val="CommentReference"/>
        </w:rPr>
        <w:annotationRef/>
      </w:r>
      <w:r>
        <w:t>CHECK IF OKAY REFERENCE AND DEDUCTION</w:t>
      </w:r>
    </w:p>
  </w:comment>
  <w:comment w:id="1" w:author="Susan Steinbusch-Coort" w:date="2020-06-16T11:55:00Z" w:initials="SS">
    <w:p w14:paraId="0A68889C" w14:textId="77777777" w:rsidR="003513CF" w:rsidRDefault="003513CF" w:rsidP="00393F76">
      <w:pPr>
        <w:pStyle w:val="CommentText"/>
      </w:pPr>
      <w:r>
        <w:rPr>
          <w:rStyle w:val="CommentReference"/>
        </w:rPr>
        <w:annotationRef/>
      </w:r>
      <w:r>
        <w:t>Add the unit used here</w:t>
      </w:r>
    </w:p>
  </w:comment>
  <w:comment w:id="2" w:author="Sabrina De Oliveira" w:date="2020-06-19T14:04:00Z" w:initials="SDO">
    <w:p w14:paraId="1FECB13A" w14:textId="75778F0A" w:rsidR="003513CF" w:rsidRDefault="003513CF">
      <w:pPr>
        <w:pStyle w:val="CommentText"/>
      </w:pPr>
      <w:r>
        <w:rPr>
          <w:rStyle w:val="CommentReference"/>
        </w:rPr>
        <w:annotationRef/>
      </w:r>
      <w:r>
        <w:t>Don’t really think this is necessary since I don’t include a picture of the Cytoscape results.</w:t>
      </w:r>
    </w:p>
  </w:comment>
  <w:comment w:id="3" w:author="Sabrina De Oliveira" w:date="2020-06-16T14:07:00Z" w:initials="SDO">
    <w:p w14:paraId="2F4BF3F1" w14:textId="77777777" w:rsidR="008716E4" w:rsidRDefault="008716E4" w:rsidP="008716E4">
      <w:pPr>
        <w:pStyle w:val="CommentText"/>
      </w:pPr>
      <w:r>
        <w:rPr>
          <w:rStyle w:val="CommentReference"/>
        </w:rPr>
        <w:annotationRef/>
      </w:r>
      <w:r>
        <w:t>Don’t really think necessary</w:t>
      </w:r>
    </w:p>
  </w:comment>
  <w:comment w:id="4" w:author="Sabrina De Oliveira" w:date="2020-06-19T17:04:00Z" w:initials="SDO">
    <w:p w14:paraId="49633C49" w14:textId="557E3006" w:rsidR="00A4746A" w:rsidRDefault="00A4746A">
      <w:pPr>
        <w:pStyle w:val="CommentText"/>
      </w:pPr>
      <w:r>
        <w:rPr>
          <w:rStyle w:val="CommentReference"/>
        </w:rPr>
        <w:annotationRef/>
      </w:r>
      <w:r>
        <w:t>BUT might discuss hexanoylcarnitine in discussion – if so leave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0A68889C" w15:done="1"/>
  <w15:commentEx w15:paraId="1FECB13A" w15:done="0"/>
  <w15:commentEx w15:paraId="2F4BF3F1" w15:done="0"/>
  <w15:commentEx w15:paraId="49633C49" w15:paraIdParent="2F4BF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Extensible w16cex:durableId="22974465" w16cex:dateUtc="2020-06-19T12:04:00Z"/>
  <w16cex:commentExtensible w16cex:durableId="22976B1A" w16cex:dateUtc="2020-06-19T14:49:00Z"/>
  <w16cex:commentExtensible w16cex:durableId="22976E8C" w16cex:dateUtc="2020-06-19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0A68889C" w16cid:durableId="2293319B"/>
  <w16cid:commentId w16cid:paraId="1FECB13A" w16cid:durableId="22974465"/>
  <w16cid:commentId w16cid:paraId="2F4BF3F1" w16cid:durableId="22976B1A"/>
  <w16cid:commentId w16cid:paraId="49633C49" w16cid:durableId="22976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11DEA"/>
    <w:rsid w:val="00016455"/>
    <w:rsid w:val="000164DC"/>
    <w:rsid w:val="0001693C"/>
    <w:rsid w:val="0003111C"/>
    <w:rsid w:val="000338B8"/>
    <w:rsid w:val="000525B3"/>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A78C4"/>
    <w:rsid w:val="001B478B"/>
    <w:rsid w:val="001C235B"/>
    <w:rsid w:val="001C38F6"/>
    <w:rsid w:val="001D4194"/>
    <w:rsid w:val="001E52E1"/>
    <w:rsid w:val="001E56C1"/>
    <w:rsid w:val="001E65E5"/>
    <w:rsid w:val="001E671D"/>
    <w:rsid w:val="001E73CA"/>
    <w:rsid w:val="001F36F6"/>
    <w:rsid w:val="002001B5"/>
    <w:rsid w:val="0020314D"/>
    <w:rsid w:val="00204EDB"/>
    <w:rsid w:val="00211B3E"/>
    <w:rsid w:val="00222C19"/>
    <w:rsid w:val="00225D2F"/>
    <w:rsid w:val="00226E3C"/>
    <w:rsid w:val="00230393"/>
    <w:rsid w:val="002334FA"/>
    <w:rsid w:val="0024199F"/>
    <w:rsid w:val="00242C10"/>
    <w:rsid w:val="002476B2"/>
    <w:rsid w:val="00252AA8"/>
    <w:rsid w:val="00252BF0"/>
    <w:rsid w:val="002539CF"/>
    <w:rsid w:val="002606CE"/>
    <w:rsid w:val="0027363B"/>
    <w:rsid w:val="0028112C"/>
    <w:rsid w:val="002821EB"/>
    <w:rsid w:val="00282752"/>
    <w:rsid w:val="0029258A"/>
    <w:rsid w:val="00295288"/>
    <w:rsid w:val="00296158"/>
    <w:rsid w:val="00296DBD"/>
    <w:rsid w:val="00297664"/>
    <w:rsid w:val="002A2224"/>
    <w:rsid w:val="002B12CA"/>
    <w:rsid w:val="002C1335"/>
    <w:rsid w:val="002C1868"/>
    <w:rsid w:val="002C4727"/>
    <w:rsid w:val="002D1094"/>
    <w:rsid w:val="002D3A2F"/>
    <w:rsid w:val="002E0464"/>
    <w:rsid w:val="002E09B2"/>
    <w:rsid w:val="002E7729"/>
    <w:rsid w:val="002F097D"/>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44E4"/>
    <w:rsid w:val="003F7E47"/>
    <w:rsid w:val="00401FBC"/>
    <w:rsid w:val="00403587"/>
    <w:rsid w:val="00405893"/>
    <w:rsid w:val="004223AC"/>
    <w:rsid w:val="00426529"/>
    <w:rsid w:val="00430704"/>
    <w:rsid w:val="00435FB9"/>
    <w:rsid w:val="004375A0"/>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5695"/>
    <w:rsid w:val="005468E5"/>
    <w:rsid w:val="00546976"/>
    <w:rsid w:val="005527BA"/>
    <w:rsid w:val="005562BF"/>
    <w:rsid w:val="00557DF9"/>
    <w:rsid w:val="00563D14"/>
    <w:rsid w:val="0056547C"/>
    <w:rsid w:val="00567346"/>
    <w:rsid w:val="00567E34"/>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4806"/>
    <w:rsid w:val="00635FDD"/>
    <w:rsid w:val="006437A3"/>
    <w:rsid w:val="00643F54"/>
    <w:rsid w:val="006545DA"/>
    <w:rsid w:val="006559C9"/>
    <w:rsid w:val="00655E70"/>
    <w:rsid w:val="0066109C"/>
    <w:rsid w:val="00666177"/>
    <w:rsid w:val="00672A52"/>
    <w:rsid w:val="00674E29"/>
    <w:rsid w:val="006758DD"/>
    <w:rsid w:val="00676804"/>
    <w:rsid w:val="00677C47"/>
    <w:rsid w:val="00686CA3"/>
    <w:rsid w:val="00692DFE"/>
    <w:rsid w:val="0069701F"/>
    <w:rsid w:val="00697D71"/>
    <w:rsid w:val="006A122B"/>
    <w:rsid w:val="006A1826"/>
    <w:rsid w:val="006A5E09"/>
    <w:rsid w:val="006C100F"/>
    <w:rsid w:val="006C16A6"/>
    <w:rsid w:val="006C21E8"/>
    <w:rsid w:val="006C5EBA"/>
    <w:rsid w:val="006D13F6"/>
    <w:rsid w:val="006D4033"/>
    <w:rsid w:val="006E098A"/>
    <w:rsid w:val="006E3D0F"/>
    <w:rsid w:val="006F0693"/>
    <w:rsid w:val="006F4EE2"/>
    <w:rsid w:val="006F54AE"/>
    <w:rsid w:val="006F73E6"/>
    <w:rsid w:val="00701255"/>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86E44"/>
    <w:rsid w:val="00992B3D"/>
    <w:rsid w:val="00995C8F"/>
    <w:rsid w:val="009971AB"/>
    <w:rsid w:val="009B2ECA"/>
    <w:rsid w:val="009B469F"/>
    <w:rsid w:val="009B59B5"/>
    <w:rsid w:val="009F3768"/>
    <w:rsid w:val="009F5ADB"/>
    <w:rsid w:val="009F688A"/>
    <w:rsid w:val="00A070D5"/>
    <w:rsid w:val="00A10D5F"/>
    <w:rsid w:val="00A13378"/>
    <w:rsid w:val="00A16D47"/>
    <w:rsid w:val="00A17416"/>
    <w:rsid w:val="00A22C98"/>
    <w:rsid w:val="00A3255C"/>
    <w:rsid w:val="00A3326B"/>
    <w:rsid w:val="00A35A05"/>
    <w:rsid w:val="00A35DF9"/>
    <w:rsid w:val="00A36C83"/>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D06B8"/>
    <w:rsid w:val="00BD13F4"/>
    <w:rsid w:val="00BD2D65"/>
    <w:rsid w:val="00BD34C4"/>
    <w:rsid w:val="00BD518F"/>
    <w:rsid w:val="00BD533A"/>
    <w:rsid w:val="00BD5CE7"/>
    <w:rsid w:val="00BE3361"/>
    <w:rsid w:val="00BF0D4C"/>
    <w:rsid w:val="00C05B84"/>
    <w:rsid w:val="00C13D85"/>
    <w:rsid w:val="00C1406D"/>
    <w:rsid w:val="00C21195"/>
    <w:rsid w:val="00C25782"/>
    <w:rsid w:val="00C27645"/>
    <w:rsid w:val="00C27AAA"/>
    <w:rsid w:val="00C31EE7"/>
    <w:rsid w:val="00C402FD"/>
    <w:rsid w:val="00C4181C"/>
    <w:rsid w:val="00C4316D"/>
    <w:rsid w:val="00C611CE"/>
    <w:rsid w:val="00C64E27"/>
    <w:rsid w:val="00C67CFA"/>
    <w:rsid w:val="00C767FE"/>
    <w:rsid w:val="00C779BD"/>
    <w:rsid w:val="00C8014C"/>
    <w:rsid w:val="00C813D6"/>
    <w:rsid w:val="00C91D09"/>
    <w:rsid w:val="00C92198"/>
    <w:rsid w:val="00CA68A1"/>
    <w:rsid w:val="00CA7687"/>
    <w:rsid w:val="00CC29BB"/>
    <w:rsid w:val="00CC3C7F"/>
    <w:rsid w:val="00CD53D8"/>
    <w:rsid w:val="00CE047B"/>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497B"/>
    <w:rsid w:val="00E577C1"/>
    <w:rsid w:val="00E60B24"/>
    <w:rsid w:val="00E62D1B"/>
    <w:rsid w:val="00E6312A"/>
    <w:rsid w:val="00E66BA8"/>
    <w:rsid w:val="00E709E8"/>
    <w:rsid w:val="00E71AAA"/>
    <w:rsid w:val="00E739ED"/>
    <w:rsid w:val="00E76462"/>
    <w:rsid w:val="00E939BA"/>
    <w:rsid w:val="00E9564A"/>
    <w:rsid w:val="00EA4197"/>
    <w:rsid w:val="00EA7343"/>
    <w:rsid w:val="00EA7C5C"/>
    <w:rsid w:val="00EB518D"/>
    <w:rsid w:val="00EC77F7"/>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ije/2012/983814/" TargetMode="External"/><Relationship Id="rId13" Type="http://schemas.openxmlformats.org/officeDocument/2006/relationships/hyperlink" Target="https://www.thelancet.com/pdfs/journals/ebiom/PIIS2352-3964(19)30800-X.pdf" TargetMode="External"/><Relationship Id="rId18" Type="http://schemas.microsoft.com/office/2011/relationships/commentsExtended" Target="commentsExtended.xml"/><Relationship Id="rId26" Type="http://schemas.openxmlformats.org/officeDocument/2006/relationships/hyperlink" Target="https://www.pnas.org/content/82/20/6955" TargetMode="External"/><Relationship Id="rId39" Type="http://schemas.openxmlformats.org/officeDocument/2006/relationships/hyperlink" Target="https://f1000research.com/articles/7-743" TargetMode="External"/><Relationship Id="rId3" Type="http://schemas.openxmlformats.org/officeDocument/2006/relationships/styles" Target="styles.xml"/><Relationship Id="rId21" Type="http://schemas.openxmlformats.org/officeDocument/2006/relationships/hyperlink" Target="https://www.ncbi.nlm.nih.gov/pmc/articles/PMC5109542/" TargetMode="External"/><Relationship Id="rId34" Type="http://schemas.openxmlformats.org/officeDocument/2006/relationships/hyperlink" Target="https://currentprotocols.onlinelibrary.wiley.com/doi/abs/10.1002/cpbi.86" TargetMode="External"/><Relationship Id="rId42" Type="http://schemas.openxmlformats.org/officeDocument/2006/relationships/image" Target="media/image4.png"/><Relationship Id="rId47" Type="http://schemas.microsoft.com/office/2011/relationships/people" Target="people.xml"/><Relationship Id="rId7" Type="http://schemas.openxmlformats.org/officeDocument/2006/relationships/hyperlink" Target="https://www-jci-org.ezproxy.ub.unimaas.nl/articles/view/77812" TargetMode="External"/><Relationship Id="rId12"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17" Type="http://schemas.openxmlformats.org/officeDocument/2006/relationships/comments" Target="comments.xml"/><Relationship Id="rId25" Type="http://schemas.openxmlformats.org/officeDocument/2006/relationships/hyperlink" Target="https://www.nature.com/articles/s41467-017-00249-5" TargetMode="External"/><Relationship Id="rId33" Type="http://schemas.openxmlformats.org/officeDocument/2006/relationships/hyperlink" Target="https://journals.plos.org/ploscompbiol/article?id=10.1371/journal.pcbi.1004085" TargetMode="External"/><Relationship Id="rId38" Type="http://schemas.openxmlformats.org/officeDocument/2006/relationships/hyperlink" Target="https://pubs.acs.org/doi/abs/10.1021/acs.jproteome.8b00702?casa_token=USD2zPrA-5QAAAAA%3AYyafljBu-Nc16fPtSZTe6iUPJs-9Osr3IunM7yHnmRqfAMPsnYE-OCnVtE63ZJN9MbDSHO4XSTxDSww-&amp;"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0" Type="http://schemas.microsoft.com/office/2018/08/relationships/commentsExtensible" Target="commentsExtensible.xml"/><Relationship Id="rId29" Type="http://schemas.openxmlformats.org/officeDocument/2006/relationships/hyperlink" Target="https://journals.plos.org/plosone/article?id=10.1371/journal.pone.0061217"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diabetesatlas.org/" TargetMode="Externa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hmp2-data.stanford.edu/" TargetMode="External"/><Relationship Id="rId32" Type="http://schemas.openxmlformats.org/officeDocument/2006/relationships/hyperlink" Target="https://academic.oup.com/nar/article/47/D1/D786/5124600" TargetMode="External"/><Relationship Id="rId37" Type="http://schemas.openxmlformats.org/officeDocument/2006/relationships/hyperlink" Target="https://www.ncbi.nlm.nih.gov/pmc/articles/PMC403769/"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github.com/jstansfield0/HMP2Data" TargetMode="External"/><Relationship Id="rId36" Type="http://schemas.openxmlformats.org/officeDocument/2006/relationships/hyperlink" Target="https://pubmed.ncbi.nlm.nih.gov/31441146/" TargetMode="External"/><Relationship Id="rId10" Type="http://schemas.openxmlformats.org/officeDocument/2006/relationships/hyperlink" Target="https://www-ncbi-nlm-nih-gov.ezproxy.ub.unimaas.nl/books/NBK507839/" TargetMode="External"/><Relationship Id="rId19" Type="http://schemas.microsoft.com/office/2016/09/relationships/commentsIds" Target="commentsIds.xml"/><Relationship Id="rId31" Type="http://schemas.openxmlformats.org/officeDocument/2006/relationships/hyperlink" Target="https://academic.oup.com/bioinformatics/article/34/19/3417/4987147"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ncbi.nlm.nih.gov/pmc/articles/PMC6131567/" TargetMode="External"/><Relationship Id="rId14" Type="http://schemas.openxmlformats.org/officeDocument/2006/relationships/hyperlink" Target="https://nyaspubs-onlinelibrary-wiley-com.ezproxy.ub.unimaas.nl/doi/full/10.1111/nyas.14107" TargetMode="External"/><Relationship Id="rId22" Type="http://schemas.openxmlformats.org/officeDocument/2006/relationships/hyperlink" Target="https://www.ncbi.nlm.nih.gov/pmc/articles/PMC5109542/" TargetMode="External"/><Relationship Id="rId27" Type="http://schemas.openxmlformats.org/officeDocument/2006/relationships/image" Target="media/image1.png"/><Relationship Id="rId30"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5" Type="http://schemas.openxmlformats.org/officeDocument/2006/relationships/hyperlink" Target="https://academic.oup.com/nar/article/46/D1/D661/4612963" TargetMode="External"/><Relationship Id="rId43" Type="http://schemas.openxmlformats.org/officeDocument/2006/relationships/image" Target="media/image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F56E-47E2-46B6-9223-84C22981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24</Pages>
  <Words>6375</Words>
  <Characters>36343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554</cp:revision>
  <cp:lastPrinted>2020-06-19T14:05:00Z</cp:lastPrinted>
  <dcterms:created xsi:type="dcterms:W3CDTF">2020-06-17T08:09:00Z</dcterms:created>
  <dcterms:modified xsi:type="dcterms:W3CDTF">2020-06-19T15:17:00Z</dcterms:modified>
</cp:coreProperties>
</file>