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commentRangeStart w:id="0"/>
      <w:r w:rsidRPr="00F42879">
        <w:rPr>
          <w:sz w:val="24"/>
          <w:szCs w:val="24"/>
          <w:u w:val="single"/>
        </w:rPr>
        <w:t>Introduction </w:t>
      </w:r>
      <w:commentRangeEnd w:id="0"/>
      <w:r w:rsidR="00CB2C0A">
        <w:rPr>
          <w:rStyle w:val="CommentReference"/>
          <w:rFonts w:asciiTheme="minorHAnsi" w:eastAsiaTheme="minorHAnsi" w:hAnsiTheme="minorHAnsi" w:cstheme="minorBidi"/>
          <w:b w:val="0"/>
          <w:bCs w:val="0"/>
          <w:lang w:eastAsia="en-US"/>
        </w:rPr>
        <w:commentReference w:id="0"/>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10"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11"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12"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13"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4"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5"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6"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7" w:history="1">
        <w:r w:rsidR="006F54AE">
          <w:rPr>
            <w:rStyle w:val="Hyperlink"/>
            <w:color w:val="1155CC"/>
          </w:rPr>
          <w:t>https://www.thelancet.com/pdfs/journals/ebiom/PIIS2352-3964(19)30800-X.pdf</w:t>
        </w:r>
      </w:hyperlink>
      <w:r w:rsidR="0013238C">
        <w:rPr>
          <w:rStyle w:val="Hyperlink"/>
          <w:color w:val="1155CC"/>
        </w:rPr>
        <w:t xml:space="preserve">, </w:t>
      </w:r>
      <w:hyperlink r:id="rId18"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6463E455" w14:textId="77777777" w:rsidR="003F27F0" w:rsidRDefault="00F3698C" w:rsidP="00D04A98">
      <w:pPr>
        <w:pStyle w:val="NormalWeb"/>
        <w:spacing w:before="0" w:beforeAutospacing="0" w:after="0" w:afterAutospacing="0" w:line="360" w:lineRule="auto"/>
        <w:jc w:val="both"/>
        <w:rPr>
          <w:color w:val="000000"/>
        </w:rPr>
      </w:pPr>
      <w:r>
        <w:rPr>
          <w:color w:val="000000"/>
        </w:rPr>
        <w:t>The</w:t>
      </w:r>
      <w:r w:rsidR="00A371A5">
        <w:rPr>
          <w:color w:val="000000"/>
        </w:rPr>
        <w:t>se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64373">
        <w:rPr>
          <w:color w:val="1155CC"/>
        </w:rPr>
        <w:t xml:space="preserve">, </w:t>
      </w:r>
      <w:hyperlink r:id="rId19" w:history="1">
        <w:r w:rsidR="00664373">
          <w:rPr>
            <w:rStyle w:val="Hyperlink"/>
          </w:rPr>
          <w:t>https://www.nature.com/articles/s41467-018-05357-4</w:t>
        </w:r>
      </w:hyperlink>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changes</w:t>
      </w:r>
      <w:commentRangeStart w:id="1"/>
      <w:commentRangeStart w:id="2"/>
      <w:commentRangeStart w:id="3"/>
      <w:commentRangeStart w:id="4"/>
      <w:r w:rsidR="00E4497B">
        <w:rPr>
          <w:color w:val="000000"/>
        </w:rPr>
        <w:t xml:space="preserve">. </w:t>
      </w:r>
      <w:r w:rsidR="00826457">
        <w:rPr>
          <w:color w:val="000000"/>
        </w:rPr>
        <w:t xml:space="preserve"> </w:t>
      </w:r>
    </w:p>
    <w:p w14:paraId="4C3396C6" w14:textId="777DEDF0" w:rsidR="00546976" w:rsidRPr="00054D70" w:rsidRDefault="00FC7A57" w:rsidP="00D04A98">
      <w:pPr>
        <w:pStyle w:val="NormalWeb"/>
        <w:spacing w:before="0" w:beforeAutospacing="0" w:after="0" w:afterAutospacing="0" w:line="360" w:lineRule="auto"/>
        <w:jc w:val="both"/>
      </w:pPr>
      <w:r>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commentRangeEnd w:id="1"/>
      <w:r w:rsidR="00FE1A63">
        <w:rPr>
          <w:rStyle w:val="CommentReference"/>
          <w:rFonts w:asciiTheme="minorHAnsi" w:eastAsiaTheme="minorHAnsi" w:hAnsiTheme="minorHAnsi" w:cstheme="minorBidi"/>
          <w:lang w:eastAsia="en-US"/>
        </w:rPr>
        <w:commentReference w:id="1"/>
      </w:r>
      <w:commentRangeEnd w:id="2"/>
      <w:r w:rsidR="001979D7">
        <w:rPr>
          <w:rStyle w:val="CommentReference"/>
          <w:rFonts w:asciiTheme="minorHAnsi" w:eastAsiaTheme="minorHAnsi" w:hAnsiTheme="minorHAnsi" w:cstheme="minorBidi"/>
          <w:lang w:eastAsia="en-US"/>
        </w:rPr>
        <w:commentReference w:id="2"/>
      </w:r>
      <w:commentRangeEnd w:id="3"/>
      <w:r w:rsidR="00C612F5">
        <w:rPr>
          <w:rStyle w:val="CommentReference"/>
          <w:rFonts w:asciiTheme="minorHAnsi" w:eastAsiaTheme="minorHAnsi" w:hAnsiTheme="minorHAnsi" w:cstheme="minorBidi"/>
          <w:lang w:eastAsia="en-US"/>
        </w:rPr>
        <w:commentReference w:id="3"/>
      </w:r>
      <w:commentRangeEnd w:id="4"/>
      <w:r w:rsidR="00D6070D">
        <w:rPr>
          <w:rStyle w:val="CommentReference"/>
          <w:rFonts w:asciiTheme="minorHAnsi" w:eastAsiaTheme="minorHAnsi" w:hAnsiTheme="minorHAnsi" w:cstheme="minorBidi"/>
          <w:lang w:eastAsia="en-US"/>
        </w:rPr>
        <w:commentReference w:id="4"/>
      </w:r>
      <w:r w:rsidR="003444B1" w:rsidRPr="003444B1">
        <w:rPr>
          <w:color w:val="000000"/>
        </w:rPr>
        <w:t>(</w:t>
      </w:r>
      <w:hyperlink r:id="rId20"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9A78A9">
        <w:rPr>
          <w:color w:val="000000"/>
        </w:rPr>
        <w:t xml:space="preserve">a </w:t>
      </w:r>
      <w:r w:rsidR="00763403">
        <w:rPr>
          <w:color w:val="000000"/>
        </w:rPr>
        <w:t>decreased insulin-dependent suppression of lipolysis in IR adipose tissue</w:t>
      </w:r>
      <w:r w:rsidR="004D5566">
        <w:rPr>
          <w:color w:val="000000"/>
        </w:rPr>
        <w:t xml:space="preserve"> </w:t>
      </w:r>
      <w:r w:rsidR="00546976">
        <w:rPr>
          <w:color w:val="000000"/>
        </w:rPr>
        <w:t>(</w:t>
      </w:r>
      <w:hyperlink r:id="rId21" w:history="1">
        <w:r w:rsidR="00546976">
          <w:rPr>
            <w:rStyle w:val="Hyperlink"/>
            <w:color w:val="1155CC"/>
          </w:rPr>
          <w:t>https://www.jci.org/articles/view/10762</w:t>
        </w:r>
      </w:hyperlink>
      <w:r w:rsidR="00546976">
        <w:rPr>
          <w:color w:val="000000"/>
        </w:rPr>
        <w:t>). </w:t>
      </w:r>
      <w:r w:rsidR="00EA2C57">
        <w:rPr>
          <w:color w:val="000000"/>
        </w:rPr>
        <w:t>However, o</w:t>
      </w:r>
      <w:r w:rsidR="00F82AE4">
        <w:rPr>
          <w:color w:val="000000"/>
        </w:rPr>
        <w:t xml:space="preserve">ther non-lipid </w:t>
      </w:r>
      <w:r w:rsidR="00C13D85">
        <w:rPr>
          <w:color w:val="000000"/>
        </w:rPr>
        <w:t>metabolites</w:t>
      </w:r>
      <w:r w:rsidR="00EA2C57">
        <w:rPr>
          <w:color w:val="000000"/>
        </w:rPr>
        <w:t xml:space="preserve"> </w:t>
      </w:r>
      <w:r w:rsidR="00C13D85">
        <w:rPr>
          <w:color w:val="000000"/>
        </w:rPr>
        <w:t>have also been shown to</w:t>
      </w:r>
      <w:r w:rsidR="008A0B92">
        <w:rPr>
          <w:color w:val="000000"/>
        </w:rPr>
        <w:t xml:space="preserve"> define the </w:t>
      </w:r>
      <w:r w:rsidR="00CA68A1">
        <w:rPr>
          <w:color w:val="000000"/>
        </w:rPr>
        <w:t>IR metabolome</w:t>
      </w:r>
      <w:r w:rsidR="00EA2C57">
        <w:rPr>
          <w:color w:val="000000"/>
        </w:rPr>
        <w:t xml:space="preserve">. </w:t>
      </w:r>
      <w:r w:rsidR="001B438E">
        <w:rPr>
          <w:color w:val="000000"/>
        </w:rPr>
        <w:t>Recently</w:t>
      </w:r>
      <w:r w:rsidR="003375D9">
        <w:rPr>
          <w:color w:val="000000"/>
        </w:rPr>
        <w:t>, BCAAs has become a topic of interest since</w:t>
      </w:r>
      <w:r w:rsidR="00567346">
        <w:rPr>
          <w:color w:val="000000"/>
        </w:rPr>
        <w:t xml:space="preserve"> </w:t>
      </w:r>
      <w:r w:rsidR="003375D9">
        <w:rPr>
          <w:color w:val="000000"/>
        </w:rPr>
        <w:t>some</w:t>
      </w:r>
      <w:r w:rsidR="00567346">
        <w:rPr>
          <w:color w:val="000000"/>
        </w:rPr>
        <w:t xml:space="preserve"> </w:t>
      </w:r>
      <w:r w:rsidR="006F73E6">
        <w:rPr>
          <w:color w:val="000000"/>
        </w:rPr>
        <w:t xml:space="preserve">studies </w:t>
      </w:r>
      <w:r w:rsidR="003375D9">
        <w:rPr>
          <w:color w:val="000000"/>
        </w:rPr>
        <w:t>have shown</w:t>
      </w:r>
      <w:r w:rsidR="006F73E6">
        <w:rPr>
          <w:color w:val="000000"/>
        </w:rPr>
        <w:t xml:space="preserve">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5"/>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5"/>
      <w:proofErr w:type="spellEnd"/>
      <w:r w:rsidR="00780026">
        <w:rPr>
          <w:rStyle w:val="CommentReference"/>
          <w:rFonts w:asciiTheme="minorHAnsi" w:eastAsiaTheme="minorHAnsi" w:hAnsiTheme="minorHAnsi" w:cstheme="minorBidi"/>
          <w:lang w:eastAsia="en-US"/>
        </w:rPr>
        <w:commentReference w:id="5"/>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lastRenderedPageBreak/>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106 individuals at high risk for diabetes over a period of 4 years in order to determine the ‘physiological changes that occur in the microbiome and host during viral infection and during changes in glucose levels and insulin resistance’ (</w:t>
      </w:r>
      <w:hyperlink r:id="rId22"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3"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4"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5"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6"/>
      <w:r w:rsidRPr="00AB7B0F">
        <w:rPr>
          <w:rFonts w:ascii="Times New Roman" w:eastAsia="Times New Roman" w:hAnsi="Times New Roman" w:cs="Times New Roman"/>
          <w:color w:val="000000"/>
          <w:sz w:val="24"/>
          <w:szCs w:val="24"/>
          <w:lang w:eastAsia="en-GB"/>
        </w:rPr>
        <w:t>SSPG</w:t>
      </w:r>
      <w:commentRangeEnd w:id="6"/>
      <w:r>
        <w:rPr>
          <w:rStyle w:val="CommentReference"/>
        </w:rPr>
        <w:commentReference w:id="6"/>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0F704EDE"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6"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7"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9"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30"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lastRenderedPageBreak/>
        <w:t>Statistical analysis of the metagenomic data</w:t>
      </w:r>
    </w:p>
    <w:p w14:paraId="55F6ADFD" w14:textId="2AE3BDD4"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1"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 xml:space="preserve">for which an HMDB identifier was given </w:t>
      </w:r>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2"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3"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4"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5"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006C42DB"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iHMP study were replaced with corresponding HMDB identifiers using the metabolite annotation datafile </w:t>
      </w:r>
      <w:r w:rsidRPr="00AB7B0F">
        <w:rPr>
          <w:rFonts w:ascii="Times New Roman" w:eastAsia="Times New Roman" w:hAnsi="Times New Roman" w:cs="Times New Roman"/>
          <w:color w:val="000000"/>
          <w:sz w:val="24"/>
          <w:szCs w:val="24"/>
          <w:lang w:eastAsia="en-GB"/>
        </w:rPr>
        <w:lastRenderedPageBreak/>
        <w:t>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03251DD9"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6"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7"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720940AA"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significantly altered proteins </w:t>
      </w:r>
      <w:r w:rsidR="001359F4">
        <w:rPr>
          <w:rFonts w:ascii="Times New Roman" w:eastAsia="Times New Roman" w:hAnsi="Times New Roman" w:cs="Times New Roman"/>
          <w:color w:val="000000"/>
          <w:sz w:val="24"/>
          <w:szCs w:val="24"/>
          <w:lang w:eastAsia="en-GB"/>
        </w:rPr>
        <w:t xml:space="preserve">and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w:t>
      </w:r>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8"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executed</w:t>
      </w:r>
      <w:r w:rsidRPr="00AB7B0F">
        <w:rPr>
          <w:rFonts w:ascii="Times New Roman" w:eastAsia="Times New Roman" w:hAnsi="Times New Roman" w:cs="Times New Roman"/>
          <w:color w:val="000000"/>
          <w:sz w:val="24"/>
          <w:szCs w:val="24"/>
          <w:lang w:eastAsia="en-GB"/>
        </w:rPr>
        <w:t xml:space="preserve">. This was done by 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r w:rsidRPr="00AB7B0F">
        <w:rPr>
          <w:rFonts w:ascii="Times New Roman" w:eastAsia="Times New Roman" w:hAnsi="Times New Roman" w:cs="Times New Roman"/>
          <w:color w:val="000000"/>
          <w:sz w:val="24"/>
          <w:szCs w:val="24"/>
          <w:lang w:eastAsia="en-GB"/>
        </w:rPr>
        <w:t>stringApp (</w:t>
      </w:r>
      <w:hyperlink r:id="rId39" w:history="1">
        <w:r>
          <w:rPr>
            <w:rStyle w:val="Hyperlink"/>
          </w:rPr>
          <w:t>https://pubs.acs.org/doi/abs/10.1021/acs.jproteome.8b00702?casa_token=USD2zPrA-</w:t>
        </w:r>
        <w:r>
          <w:rPr>
            <w:rStyle w:val="Hyperlink"/>
          </w:rPr>
          <w:lastRenderedPageBreak/>
          <w:t>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40"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7"/>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7"/>
      <w:r w:rsidR="000164DC">
        <w:rPr>
          <w:rStyle w:val="CommentReference"/>
        </w:rPr>
        <w:commentReference w:id="7"/>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4FEC945F"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CA93F03"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lastRenderedPageBreak/>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and Proteobacteria (Figure 4.D) both being slightly less abundant and the Actinobacteria (Figure 4.A)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try identify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Consistent with the Bacteroidetes mean abundance being lower in the IR group (Figure 4.B),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4.C). </w:t>
      </w:r>
    </w:p>
    <w:p w14:paraId="25BE47D3"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3 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2EF70D32"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Figure 5: bar plot of the </w:t>
      </w:r>
      <w:r w:rsidR="00B360D4">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generated by the multivariate ANOVA with permutations (PERMANOVA) deemed to contribute the most to the separation between the insulin resistant and insulin sensitive groups. </w:t>
      </w:r>
      <w:r w:rsidR="002020D3">
        <w:rPr>
          <w:rFonts w:ascii="Times New Roman" w:eastAsia="Times New Roman" w:hAnsi="Times New Roman" w:cs="Times New Roman"/>
          <w:i/>
          <w:iCs/>
          <w:color w:val="000000"/>
          <w:sz w:val="24"/>
          <w:szCs w:val="24"/>
          <w:lang w:eastAsia="en-GB"/>
        </w:rPr>
        <w:t>For each O</w:t>
      </w:r>
      <w:r w:rsidR="008D17BD">
        <w:rPr>
          <w:rFonts w:ascii="Times New Roman" w:eastAsia="Times New Roman" w:hAnsi="Times New Roman" w:cs="Times New Roman"/>
          <w:i/>
          <w:iCs/>
          <w:color w:val="000000"/>
          <w:sz w:val="24"/>
          <w:szCs w:val="24"/>
          <w:lang w:eastAsia="en-GB"/>
        </w:rPr>
        <w:t>TU</w:t>
      </w:r>
      <w:r w:rsidR="002020D3">
        <w:rPr>
          <w:rFonts w:ascii="Times New Roman" w:eastAsia="Times New Roman" w:hAnsi="Times New Roman" w:cs="Times New Roman"/>
          <w:i/>
          <w:iCs/>
          <w:color w:val="000000"/>
          <w:sz w:val="24"/>
          <w:szCs w:val="24"/>
          <w:lang w:eastAsia="en-GB"/>
        </w:rPr>
        <w:t xml:space="preserve">, </w:t>
      </w:r>
      <w:r w:rsidR="008D17BD">
        <w:rPr>
          <w:rFonts w:ascii="Times New Roman" w:eastAsia="Times New Roman" w:hAnsi="Times New Roman" w:cs="Times New Roman"/>
          <w:i/>
          <w:iCs/>
          <w:color w:val="000000"/>
          <w:sz w:val="24"/>
          <w:szCs w:val="24"/>
          <w:lang w:eastAsia="en-GB"/>
        </w:rPr>
        <w:t xml:space="preserve">the corresponding genus and species (if available) is give. </w:t>
      </w:r>
      <w:r w:rsidR="002020D3">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with negative values are less abundant in the IR condition and </w:t>
      </w:r>
      <w:r w:rsidR="002020D3">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with positive values are more abundant in the IS condition. Blue bars represent </w:t>
      </w:r>
      <w:r w:rsidR="008D17BD">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belonging to the Bacteroidetes phylum, orange bars represent </w:t>
      </w:r>
      <w:r w:rsidR="008D17BD">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belonging to the Firmicutes phylum and green bars represent </w:t>
      </w:r>
      <w:r w:rsidR="008D17BD">
        <w:rPr>
          <w:rFonts w:ascii="Times New Roman" w:eastAsia="Times New Roman" w:hAnsi="Times New Roman" w:cs="Times New Roman"/>
          <w:i/>
          <w:iCs/>
          <w:color w:val="000000"/>
          <w:sz w:val="24"/>
          <w:szCs w:val="24"/>
          <w:lang w:eastAsia="en-GB"/>
        </w:rPr>
        <w:t>OTUs</w:t>
      </w:r>
      <w:r>
        <w:rPr>
          <w:rFonts w:ascii="Times New Roman" w:eastAsia="Times New Roman" w:hAnsi="Times New Roman" w:cs="Times New Roman"/>
          <w:i/>
          <w:iCs/>
          <w:color w:val="000000"/>
          <w:sz w:val="24"/>
          <w:szCs w:val="24"/>
          <w:lang w:eastAsia="en-GB"/>
        </w:rPr>
        <w:t xml:space="preserve">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11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8"/>
      <w:commentRangeStart w:id="9"/>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8"/>
      <w:r w:rsidR="008716E4">
        <w:rPr>
          <w:rStyle w:val="CommentReference"/>
        </w:rPr>
        <w:commentReference w:id="8"/>
      </w:r>
      <w:commentRangeEnd w:id="9"/>
      <w:r w:rsidR="00A4746A">
        <w:rPr>
          <w:rStyle w:val="CommentReference"/>
        </w:rPr>
        <w:commentReference w:id="9"/>
      </w:r>
      <w:r w:rsidR="008716E4">
        <w:rPr>
          <w:rFonts w:ascii="Times New Roman" w:eastAsia="Times New Roman" w:hAnsi="Times New Roman" w:cs="Times New Roman"/>
          <w:color w:val="000000"/>
          <w:sz w:val="24"/>
          <w:szCs w:val="24"/>
          <w:lang w:eastAsia="en-GB"/>
        </w:rPr>
        <w:t>. </w:t>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3D05B61A"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criteria but none contained both proteins and metabolites with a p &lt; 0.05 (Table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(CHECK)</w:t>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5A42AE8"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786265">
        <w:trPr>
          <w:trHeight w:val="290"/>
        </w:trPr>
        <w:tc>
          <w:tcPr>
            <w:tcW w:w="5949" w:type="dxa"/>
            <w:shd w:val="clear" w:color="auto" w:fill="auto"/>
            <w:noWrap/>
            <w:vAlign w:val="bottom"/>
            <w:hideMark/>
          </w:tcPr>
          <w:p w14:paraId="0F73C1CF" w14:textId="77777777" w:rsidR="00927A13" w:rsidRPr="00B12074"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786265">
        <w:trPr>
          <w:trHeight w:val="290"/>
        </w:trPr>
        <w:tc>
          <w:tcPr>
            <w:tcW w:w="5949" w:type="dxa"/>
            <w:shd w:val="clear" w:color="auto" w:fill="auto"/>
            <w:noWrap/>
            <w:vAlign w:val="bottom"/>
            <w:hideMark/>
          </w:tcPr>
          <w:p w14:paraId="5C7447B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786265">
        <w:trPr>
          <w:trHeight w:val="290"/>
        </w:trPr>
        <w:tc>
          <w:tcPr>
            <w:tcW w:w="5949" w:type="dxa"/>
            <w:shd w:val="clear" w:color="auto" w:fill="auto"/>
            <w:noWrap/>
            <w:vAlign w:val="bottom"/>
            <w:hideMark/>
          </w:tcPr>
          <w:p w14:paraId="064B964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786265">
        <w:trPr>
          <w:trHeight w:val="290"/>
        </w:trPr>
        <w:tc>
          <w:tcPr>
            <w:tcW w:w="5949" w:type="dxa"/>
            <w:shd w:val="clear" w:color="auto" w:fill="auto"/>
            <w:noWrap/>
            <w:vAlign w:val="bottom"/>
            <w:hideMark/>
          </w:tcPr>
          <w:p w14:paraId="51366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786265">
        <w:trPr>
          <w:trHeight w:val="290"/>
        </w:trPr>
        <w:tc>
          <w:tcPr>
            <w:tcW w:w="5949" w:type="dxa"/>
            <w:shd w:val="clear" w:color="auto" w:fill="auto"/>
            <w:noWrap/>
            <w:vAlign w:val="bottom"/>
            <w:hideMark/>
          </w:tcPr>
          <w:p w14:paraId="16CDD53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786265">
        <w:trPr>
          <w:trHeight w:val="290"/>
        </w:trPr>
        <w:tc>
          <w:tcPr>
            <w:tcW w:w="5949" w:type="dxa"/>
            <w:shd w:val="clear" w:color="auto" w:fill="auto"/>
            <w:noWrap/>
            <w:vAlign w:val="bottom"/>
            <w:hideMark/>
          </w:tcPr>
          <w:p w14:paraId="0EF44BA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786265">
        <w:trPr>
          <w:trHeight w:val="290"/>
        </w:trPr>
        <w:tc>
          <w:tcPr>
            <w:tcW w:w="5949" w:type="dxa"/>
            <w:shd w:val="clear" w:color="auto" w:fill="auto"/>
            <w:noWrap/>
            <w:vAlign w:val="bottom"/>
            <w:hideMark/>
          </w:tcPr>
          <w:p w14:paraId="1919C5E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786265">
        <w:trPr>
          <w:trHeight w:val="290"/>
        </w:trPr>
        <w:tc>
          <w:tcPr>
            <w:tcW w:w="5949" w:type="dxa"/>
            <w:shd w:val="clear" w:color="auto" w:fill="auto"/>
            <w:noWrap/>
            <w:vAlign w:val="bottom"/>
            <w:hideMark/>
          </w:tcPr>
          <w:p w14:paraId="0B14F4B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786265">
        <w:trPr>
          <w:trHeight w:val="290"/>
        </w:trPr>
        <w:tc>
          <w:tcPr>
            <w:tcW w:w="5949" w:type="dxa"/>
            <w:shd w:val="clear" w:color="auto" w:fill="auto"/>
            <w:noWrap/>
            <w:vAlign w:val="bottom"/>
            <w:hideMark/>
          </w:tcPr>
          <w:p w14:paraId="25BEDA0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786265">
        <w:trPr>
          <w:trHeight w:val="290"/>
        </w:trPr>
        <w:tc>
          <w:tcPr>
            <w:tcW w:w="5949" w:type="dxa"/>
            <w:shd w:val="clear" w:color="auto" w:fill="auto"/>
            <w:noWrap/>
            <w:vAlign w:val="bottom"/>
            <w:hideMark/>
          </w:tcPr>
          <w:p w14:paraId="043CEE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786265">
        <w:trPr>
          <w:trHeight w:val="290"/>
        </w:trPr>
        <w:tc>
          <w:tcPr>
            <w:tcW w:w="5949" w:type="dxa"/>
            <w:shd w:val="clear" w:color="auto" w:fill="auto"/>
            <w:noWrap/>
            <w:vAlign w:val="bottom"/>
            <w:hideMark/>
          </w:tcPr>
          <w:p w14:paraId="182B23B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786265">
        <w:trPr>
          <w:trHeight w:val="290"/>
        </w:trPr>
        <w:tc>
          <w:tcPr>
            <w:tcW w:w="5949" w:type="dxa"/>
            <w:shd w:val="clear" w:color="auto" w:fill="auto"/>
            <w:noWrap/>
            <w:vAlign w:val="bottom"/>
            <w:hideMark/>
          </w:tcPr>
          <w:p w14:paraId="4E1776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786265">
        <w:trPr>
          <w:trHeight w:val="290"/>
        </w:trPr>
        <w:tc>
          <w:tcPr>
            <w:tcW w:w="5949" w:type="dxa"/>
            <w:shd w:val="clear" w:color="auto" w:fill="auto"/>
            <w:noWrap/>
            <w:vAlign w:val="bottom"/>
            <w:hideMark/>
          </w:tcPr>
          <w:p w14:paraId="1D756CA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786265">
        <w:trPr>
          <w:trHeight w:val="290"/>
        </w:trPr>
        <w:tc>
          <w:tcPr>
            <w:tcW w:w="5949" w:type="dxa"/>
            <w:shd w:val="clear" w:color="auto" w:fill="auto"/>
            <w:noWrap/>
            <w:vAlign w:val="bottom"/>
            <w:hideMark/>
          </w:tcPr>
          <w:p w14:paraId="4791726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786265">
        <w:trPr>
          <w:trHeight w:val="290"/>
        </w:trPr>
        <w:tc>
          <w:tcPr>
            <w:tcW w:w="5949" w:type="dxa"/>
            <w:shd w:val="clear" w:color="auto" w:fill="auto"/>
            <w:noWrap/>
            <w:vAlign w:val="bottom"/>
            <w:hideMark/>
          </w:tcPr>
          <w:p w14:paraId="0A0CD11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Gentisic</w:t>
            </w:r>
            <w:proofErr w:type="spellEnd"/>
            <w:r w:rsidRPr="00A82423">
              <w:rPr>
                <w:rStyle w:val="Strong"/>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786265">
        <w:trPr>
          <w:trHeight w:val="290"/>
        </w:trPr>
        <w:tc>
          <w:tcPr>
            <w:tcW w:w="5949" w:type="dxa"/>
            <w:shd w:val="clear" w:color="auto" w:fill="auto"/>
            <w:noWrap/>
            <w:vAlign w:val="bottom"/>
            <w:hideMark/>
          </w:tcPr>
          <w:p w14:paraId="0BF496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786265">
        <w:trPr>
          <w:trHeight w:val="290"/>
        </w:trPr>
        <w:tc>
          <w:tcPr>
            <w:tcW w:w="5949" w:type="dxa"/>
            <w:shd w:val="clear" w:color="auto" w:fill="auto"/>
            <w:noWrap/>
            <w:vAlign w:val="bottom"/>
            <w:hideMark/>
          </w:tcPr>
          <w:p w14:paraId="3BD62E20"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786265">
        <w:trPr>
          <w:trHeight w:val="290"/>
        </w:trPr>
        <w:tc>
          <w:tcPr>
            <w:tcW w:w="5949" w:type="dxa"/>
            <w:shd w:val="clear" w:color="auto" w:fill="auto"/>
            <w:noWrap/>
            <w:vAlign w:val="bottom"/>
            <w:hideMark/>
          </w:tcPr>
          <w:p w14:paraId="24B8DB3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786265">
        <w:trPr>
          <w:trHeight w:val="290"/>
        </w:trPr>
        <w:tc>
          <w:tcPr>
            <w:tcW w:w="5949" w:type="dxa"/>
            <w:shd w:val="clear" w:color="auto" w:fill="auto"/>
            <w:noWrap/>
            <w:vAlign w:val="bottom"/>
            <w:hideMark/>
          </w:tcPr>
          <w:p w14:paraId="508A691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786265">
        <w:trPr>
          <w:trHeight w:val="290"/>
        </w:trPr>
        <w:tc>
          <w:tcPr>
            <w:tcW w:w="5949" w:type="dxa"/>
            <w:shd w:val="clear" w:color="auto" w:fill="auto"/>
            <w:noWrap/>
            <w:vAlign w:val="bottom"/>
            <w:hideMark/>
          </w:tcPr>
          <w:p w14:paraId="28D5EF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786265">
        <w:trPr>
          <w:trHeight w:val="290"/>
        </w:trPr>
        <w:tc>
          <w:tcPr>
            <w:tcW w:w="5949" w:type="dxa"/>
            <w:shd w:val="clear" w:color="auto" w:fill="auto"/>
            <w:noWrap/>
            <w:vAlign w:val="bottom"/>
            <w:hideMark/>
          </w:tcPr>
          <w:p w14:paraId="2A3E48C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786265">
        <w:trPr>
          <w:trHeight w:val="290"/>
        </w:trPr>
        <w:tc>
          <w:tcPr>
            <w:tcW w:w="5949" w:type="dxa"/>
            <w:shd w:val="clear" w:color="auto" w:fill="auto"/>
            <w:noWrap/>
            <w:vAlign w:val="bottom"/>
            <w:hideMark/>
          </w:tcPr>
          <w:p w14:paraId="6D927A2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786265">
        <w:trPr>
          <w:trHeight w:val="290"/>
        </w:trPr>
        <w:tc>
          <w:tcPr>
            <w:tcW w:w="5949" w:type="dxa"/>
            <w:shd w:val="clear" w:color="auto" w:fill="auto"/>
            <w:noWrap/>
            <w:vAlign w:val="bottom"/>
            <w:hideMark/>
          </w:tcPr>
          <w:p w14:paraId="5E8576F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786265">
        <w:trPr>
          <w:trHeight w:val="290"/>
        </w:trPr>
        <w:tc>
          <w:tcPr>
            <w:tcW w:w="5949" w:type="dxa"/>
            <w:shd w:val="clear" w:color="auto" w:fill="auto"/>
            <w:noWrap/>
            <w:vAlign w:val="bottom"/>
            <w:hideMark/>
          </w:tcPr>
          <w:p w14:paraId="21E9662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786265">
        <w:trPr>
          <w:trHeight w:val="290"/>
        </w:trPr>
        <w:tc>
          <w:tcPr>
            <w:tcW w:w="5949" w:type="dxa"/>
            <w:shd w:val="clear" w:color="auto" w:fill="auto"/>
            <w:noWrap/>
            <w:vAlign w:val="bottom"/>
            <w:hideMark/>
          </w:tcPr>
          <w:p w14:paraId="7A35CDD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786265">
        <w:trPr>
          <w:trHeight w:val="290"/>
        </w:trPr>
        <w:tc>
          <w:tcPr>
            <w:tcW w:w="5949" w:type="dxa"/>
            <w:shd w:val="clear" w:color="auto" w:fill="auto"/>
            <w:noWrap/>
            <w:vAlign w:val="bottom"/>
            <w:hideMark/>
          </w:tcPr>
          <w:p w14:paraId="230023B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786265">
        <w:trPr>
          <w:trHeight w:val="290"/>
        </w:trPr>
        <w:tc>
          <w:tcPr>
            <w:tcW w:w="5949" w:type="dxa"/>
            <w:shd w:val="clear" w:color="auto" w:fill="auto"/>
            <w:noWrap/>
            <w:vAlign w:val="bottom"/>
            <w:hideMark/>
          </w:tcPr>
          <w:p w14:paraId="05477E8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786265">
        <w:trPr>
          <w:trHeight w:val="290"/>
        </w:trPr>
        <w:tc>
          <w:tcPr>
            <w:tcW w:w="5949" w:type="dxa"/>
            <w:shd w:val="clear" w:color="auto" w:fill="auto"/>
            <w:noWrap/>
            <w:vAlign w:val="bottom"/>
            <w:hideMark/>
          </w:tcPr>
          <w:p w14:paraId="36F1537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786265">
        <w:trPr>
          <w:trHeight w:val="290"/>
        </w:trPr>
        <w:tc>
          <w:tcPr>
            <w:tcW w:w="5949" w:type="dxa"/>
            <w:shd w:val="clear" w:color="auto" w:fill="auto"/>
            <w:noWrap/>
            <w:vAlign w:val="bottom"/>
            <w:hideMark/>
          </w:tcPr>
          <w:p w14:paraId="3EAF42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786265">
        <w:trPr>
          <w:trHeight w:val="290"/>
        </w:trPr>
        <w:tc>
          <w:tcPr>
            <w:tcW w:w="5949" w:type="dxa"/>
            <w:shd w:val="clear" w:color="auto" w:fill="auto"/>
            <w:noWrap/>
            <w:vAlign w:val="bottom"/>
            <w:hideMark/>
          </w:tcPr>
          <w:p w14:paraId="69960D5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786265">
        <w:trPr>
          <w:trHeight w:val="290"/>
        </w:trPr>
        <w:tc>
          <w:tcPr>
            <w:tcW w:w="5949" w:type="dxa"/>
            <w:shd w:val="clear" w:color="auto" w:fill="auto"/>
            <w:noWrap/>
            <w:vAlign w:val="bottom"/>
            <w:hideMark/>
          </w:tcPr>
          <w:p w14:paraId="2DCD070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786265">
        <w:trPr>
          <w:trHeight w:val="290"/>
        </w:trPr>
        <w:tc>
          <w:tcPr>
            <w:tcW w:w="5949" w:type="dxa"/>
            <w:shd w:val="clear" w:color="auto" w:fill="auto"/>
            <w:noWrap/>
            <w:vAlign w:val="bottom"/>
            <w:hideMark/>
          </w:tcPr>
          <w:p w14:paraId="40D43C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786265">
        <w:trPr>
          <w:trHeight w:val="290"/>
        </w:trPr>
        <w:tc>
          <w:tcPr>
            <w:tcW w:w="5949" w:type="dxa"/>
            <w:shd w:val="clear" w:color="auto" w:fill="auto"/>
            <w:noWrap/>
            <w:vAlign w:val="bottom"/>
            <w:hideMark/>
          </w:tcPr>
          <w:p w14:paraId="6EE1DA9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786265">
        <w:trPr>
          <w:trHeight w:val="290"/>
        </w:trPr>
        <w:tc>
          <w:tcPr>
            <w:tcW w:w="5949" w:type="dxa"/>
            <w:shd w:val="clear" w:color="auto" w:fill="auto"/>
            <w:noWrap/>
            <w:vAlign w:val="bottom"/>
            <w:hideMark/>
          </w:tcPr>
          <w:p w14:paraId="1698486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786265">
        <w:trPr>
          <w:trHeight w:val="290"/>
        </w:trPr>
        <w:tc>
          <w:tcPr>
            <w:tcW w:w="5949" w:type="dxa"/>
            <w:shd w:val="clear" w:color="auto" w:fill="auto"/>
            <w:noWrap/>
            <w:vAlign w:val="bottom"/>
            <w:hideMark/>
          </w:tcPr>
          <w:p w14:paraId="63CFC93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786265">
        <w:trPr>
          <w:trHeight w:val="290"/>
        </w:trPr>
        <w:tc>
          <w:tcPr>
            <w:tcW w:w="5949" w:type="dxa"/>
            <w:shd w:val="clear" w:color="auto" w:fill="auto"/>
            <w:noWrap/>
            <w:vAlign w:val="bottom"/>
            <w:hideMark/>
          </w:tcPr>
          <w:p w14:paraId="5E73593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786265">
        <w:trPr>
          <w:trHeight w:val="290"/>
        </w:trPr>
        <w:tc>
          <w:tcPr>
            <w:tcW w:w="5949" w:type="dxa"/>
            <w:shd w:val="clear" w:color="auto" w:fill="auto"/>
            <w:noWrap/>
            <w:vAlign w:val="bottom"/>
            <w:hideMark/>
          </w:tcPr>
          <w:p w14:paraId="40E98194"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786265">
        <w:trPr>
          <w:trHeight w:val="290"/>
        </w:trPr>
        <w:tc>
          <w:tcPr>
            <w:tcW w:w="5949" w:type="dxa"/>
            <w:shd w:val="clear" w:color="auto" w:fill="auto"/>
            <w:noWrap/>
            <w:vAlign w:val="bottom"/>
            <w:hideMark/>
          </w:tcPr>
          <w:p w14:paraId="4C89C6B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786265">
        <w:trPr>
          <w:trHeight w:val="290"/>
        </w:trPr>
        <w:tc>
          <w:tcPr>
            <w:tcW w:w="5949" w:type="dxa"/>
            <w:shd w:val="clear" w:color="auto" w:fill="auto"/>
            <w:noWrap/>
            <w:vAlign w:val="bottom"/>
            <w:hideMark/>
          </w:tcPr>
          <w:p w14:paraId="5A7D27E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786265">
        <w:trPr>
          <w:trHeight w:val="290"/>
        </w:trPr>
        <w:tc>
          <w:tcPr>
            <w:tcW w:w="5949" w:type="dxa"/>
            <w:shd w:val="clear" w:color="auto" w:fill="auto"/>
            <w:noWrap/>
            <w:vAlign w:val="bottom"/>
            <w:hideMark/>
          </w:tcPr>
          <w:p w14:paraId="6024C789"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786265">
        <w:trPr>
          <w:trHeight w:val="290"/>
        </w:trPr>
        <w:tc>
          <w:tcPr>
            <w:tcW w:w="5949" w:type="dxa"/>
            <w:shd w:val="clear" w:color="auto" w:fill="auto"/>
            <w:noWrap/>
            <w:vAlign w:val="bottom"/>
            <w:hideMark/>
          </w:tcPr>
          <w:p w14:paraId="61C3C2F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21T11:29:00Z" w:initials="SDO">
    <w:p w14:paraId="725B1ECD" w14:textId="48235D8C" w:rsidR="00CB2C0A" w:rsidRDefault="00CB2C0A">
      <w:pPr>
        <w:pStyle w:val="CommentText"/>
      </w:pPr>
      <w:r>
        <w:rPr>
          <w:rStyle w:val="CommentReference"/>
        </w:rPr>
        <w:annotationRef/>
      </w:r>
      <w:r>
        <w:t>Maybe include link between insulin resistance and inflammation (adipose tissue macrophages)</w:t>
      </w:r>
    </w:p>
  </w:comment>
  <w:comment w:id="1" w:author="Sabrina De Oliveira" w:date="2020-06-21T15:24:00Z" w:initials="SDO">
    <w:p w14:paraId="6E77247E" w14:textId="4285B92F" w:rsidR="00FE1A63" w:rsidRDefault="00FE1A63">
      <w:pPr>
        <w:pStyle w:val="CommentText"/>
      </w:pPr>
      <w:r>
        <w:rPr>
          <w:rStyle w:val="CommentReference"/>
        </w:rPr>
        <w:annotationRef/>
      </w:r>
      <w:r>
        <w:t xml:space="preserve">Maybe mention </w:t>
      </w:r>
      <w:r w:rsidR="009734E3">
        <w:t>(</w:t>
      </w:r>
      <w:r>
        <w:t>Ra</w:t>
      </w:r>
      <w:r w:rsidR="00BC1A9A">
        <w:t>ndle cycle</w:t>
      </w:r>
      <w:r w:rsidR="009734E3">
        <w:t xml:space="preserve"> or) metabolic flexibility</w:t>
      </w:r>
    </w:p>
  </w:comment>
  <w:comment w:id="2" w:author="Sabrina De Oliveira" w:date="2020-06-21T15:44:00Z" w:initials="SDO">
    <w:p w14:paraId="7913A112" w14:textId="68BF2A4E" w:rsidR="001979D7" w:rsidRDefault="001979D7">
      <w:pPr>
        <w:pStyle w:val="CommentText"/>
      </w:pPr>
      <w:r>
        <w:rPr>
          <w:rStyle w:val="CommentReference"/>
        </w:rPr>
        <w:annotationRef/>
      </w:r>
      <w:hyperlink r:id="rId1" w:history="1">
        <w:r>
          <w:rPr>
            <w:rStyle w:val="Hyperlink"/>
          </w:rPr>
          <w:t>https://www-cambridge-org.ezproxy.ub.unimaas.nl/core/services/aop-cambridge-core/content/view/6649F3D8E24414FD6997DBFEAE8A090E/S0029665104000497a.pdf/div-class-title-metabolic-flexibility-div.pdf</w:t>
        </w:r>
      </w:hyperlink>
    </w:p>
    <w:p w14:paraId="08C6CEA7" w14:textId="77777777" w:rsidR="00E4224D" w:rsidRDefault="00E4224D">
      <w:pPr>
        <w:pStyle w:val="CommentText"/>
      </w:pPr>
    </w:p>
    <w:p w14:paraId="673B8DA6" w14:textId="19F86173" w:rsidR="001979D7" w:rsidRDefault="00E4224D">
      <w:pPr>
        <w:pStyle w:val="CommentText"/>
      </w:pPr>
      <w:hyperlink r:id="rId2" w:history="1">
        <w:r>
          <w:rPr>
            <w:rStyle w:val="Hyperlink"/>
          </w:rPr>
          <w:t>https://www.cell.com/cell-metabolism/pdf/S1550-4131(17)30220-6.pdf</w:t>
        </w:r>
      </w:hyperlink>
    </w:p>
  </w:comment>
  <w:comment w:id="3" w:author="Sabrina De Oliveira" w:date="2020-06-21T15:52:00Z" w:initials="SDO">
    <w:p w14:paraId="6A0AC9E4" w14:textId="77777777" w:rsidR="00C612F5" w:rsidRDefault="00C612F5" w:rsidP="00C612F5">
      <w:pPr>
        <w:pStyle w:val="NormalWeb"/>
        <w:spacing w:before="0" w:beforeAutospacing="0" w:after="0" w:afterAutospacing="0" w:line="360" w:lineRule="auto"/>
        <w:jc w:val="both"/>
      </w:pPr>
      <w:r>
        <w:rPr>
          <w:rStyle w:val="CommentReference"/>
        </w:rPr>
        <w:annotationRef/>
      </w:r>
      <w:r>
        <w:rPr>
          <w:color w:val="000000"/>
        </w:rPr>
        <w:t>is metabolic inflexibility (</w:t>
      </w:r>
      <w:hyperlink r:id="rId3" w:history="1">
        <w:r>
          <w:rPr>
            <w:rStyle w:val="Hyperlink"/>
          </w:rPr>
          <w:t>https://www-cambridge-org.ezproxy.ub.unimaas.nl/core/services/aop-cambridge-core/content/view/6649F3D8E24414FD6997DBFEAE8A090E/S0029665104000497a.pdf/div-class-title-metabolic-flexibility-div.pdf</w:t>
        </w:r>
      </w:hyperlink>
      <w:r>
        <w:t>) which is defined as the inability of the body to successfully adapt the utilization of energy substrates to their availability (</w:t>
      </w:r>
      <w:hyperlink r:id="rId4" w:history="1">
        <w:r>
          <w:rPr>
            <w:rStyle w:val="Hyperlink"/>
          </w:rPr>
          <w:t>https://journals-physiology-org.ezproxy.ub.unimaas.nl/doi/full/10.1152/ajpendo.90558.2008</w:t>
        </w:r>
      </w:hyperlink>
      <w:r>
        <w:t xml:space="preserve">). </w:t>
      </w:r>
    </w:p>
    <w:p w14:paraId="6EDEDB6B" w14:textId="3AF02DA2" w:rsidR="00C612F5" w:rsidRDefault="00C612F5">
      <w:pPr>
        <w:pStyle w:val="CommentText"/>
      </w:pPr>
    </w:p>
  </w:comment>
  <w:comment w:id="4" w:author="Sabrina De Oliveira" w:date="2020-06-21T16:22:00Z" w:initials="SDO">
    <w:p w14:paraId="17D369B1" w14:textId="77777777" w:rsidR="00D6070D" w:rsidRDefault="00D6070D" w:rsidP="00D6070D">
      <w:pPr>
        <w:pStyle w:val="NormalWeb"/>
        <w:spacing w:before="0" w:beforeAutospacing="0" w:after="0" w:afterAutospacing="0" w:line="360" w:lineRule="auto"/>
        <w:jc w:val="both"/>
        <w:rPr>
          <w:color w:val="000000"/>
        </w:rPr>
      </w:pPr>
      <w:r>
        <w:rPr>
          <w:rStyle w:val="CommentReference"/>
        </w:rPr>
        <w:annotationRef/>
      </w:r>
      <w:r>
        <w:rPr>
          <w:color w:val="000000"/>
        </w:rPr>
        <w:t xml:space="preserve">As already mentioned, IR prevents glucose uptake and, thus, the usage of glucose for ATP generation. Hence, cells are unable to successfully respond to the presence of glucose and need to revert to alternative energy substrates in order to fuel themselves. This results in metabolic inflexibility </w:t>
      </w:r>
    </w:p>
    <w:p w14:paraId="248A781B" w14:textId="77777777" w:rsidR="00D6070D" w:rsidRDefault="00D6070D" w:rsidP="00D6070D">
      <w:pPr>
        <w:pStyle w:val="NormalWeb"/>
        <w:spacing w:before="0" w:beforeAutospacing="0" w:after="0" w:afterAutospacing="0" w:line="360" w:lineRule="auto"/>
        <w:jc w:val="both"/>
        <w:rPr>
          <w:color w:val="000000"/>
        </w:rPr>
      </w:pPr>
      <w:r>
        <w:rPr>
          <w:color w:val="000000"/>
        </w:rPr>
        <w:t xml:space="preserve">leads to a decrease in glucose uptake and, thus, a lower usage of glucose for ATP generation. </w:t>
      </w:r>
    </w:p>
    <w:p w14:paraId="6F2E7541" w14:textId="77777777" w:rsidR="00D6070D" w:rsidRDefault="00D6070D" w:rsidP="00D6070D">
      <w:pPr>
        <w:pStyle w:val="NormalWeb"/>
        <w:spacing w:before="0" w:beforeAutospacing="0" w:after="0" w:afterAutospacing="0" w:line="360" w:lineRule="auto"/>
        <w:jc w:val="both"/>
        <w:rPr>
          <w:color w:val="000000"/>
        </w:rPr>
      </w:pPr>
    </w:p>
    <w:p w14:paraId="0F5E1ADD" w14:textId="64552976" w:rsidR="00D6070D" w:rsidRDefault="00D6070D">
      <w:pPr>
        <w:pStyle w:val="CommentText"/>
      </w:pPr>
    </w:p>
  </w:comment>
  <w:comment w:id="5" w:author="Sabrina De Oliveira" w:date="2020-06-17T16:37:00Z" w:initials="SDO">
    <w:p w14:paraId="0051B844" w14:textId="6098F791" w:rsidR="003513CF" w:rsidRDefault="003513CF">
      <w:pPr>
        <w:pStyle w:val="CommentText"/>
      </w:pPr>
      <w:r>
        <w:rPr>
          <w:rStyle w:val="CommentReference"/>
        </w:rPr>
        <w:annotationRef/>
      </w:r>
      <w:r>
        <w:t>CHECK IF OKAY REFERENCE AND DEDUCTION</w:t>
      </w:r>
    </w:p>
  </w:comment>
  <w:comment w:id="6" w:author="Susan Steinbusch-Coort" w:date="2020-06-16T11:55:00Z" w:initials="SS">
    <w:p w14:paraId="0A68889C" w14:textId="77777777" w:rsidR="003513CF" w:rsidRDefault="003513CF" w:rsidP="00393F76">
      <w:pPr>
        <w:pStyle w:val="CommentText"/>
      </w:pPr>
      <w:r>
        <w:rPr>
          <w:rStyle w:val="CommentReference"/>
        </w:rPr>
        <w:annotationRef/>
      </w:r>
      <w:r>
        <w:t>Add the unit used here</w:t>
      </w:r>
    </w:p>
  </w:comment>
  <w:comment w:id="7" w:author="Sabrina De Oliveira" w:date="2020-06-19T14:04:00Z" w:initials="SDO">
    <w:p w14:paraId="1FECB13A" w14:textId="75778F0A" w:rsidR="003513CF" w:rsidRDefault="003513CF">
      <w:pPr>
        <w:pStyle w:val="CommentText"/>
      </w:pPr>
      <w:r>
        <w:rPr>
          <w:rStyle w:val="CommentReference"/>
        </w:rPr>
        <w:annotationRef/>
      </w:r>
      <w:r>
        <w:t>Don’t really think this is necessary since I don’t include a picture of the Cytoscape results.</w:t>
      </w:r>
    </w:p>
  </w:comment>
  <w:comment w:id="8" w:author="Sabrina De Oliveira" w:date="2020-06-16T14:07:00Z" w:initials="SDO">
    <w:p w14:paraId="2F4BF3F1" w14:textId="77777777" w:rsidR="008716E4" w:rsidRDefault="008716E4" w:rsidP="008716E4">
      <w:pPr>
        <w:pStyle w:val="CommentText"/>
      </w:pPr>
      <w:r>
        <w:rPr>
          <w:rStyle w:val="CommentReference"/>
        </w:rPr>
        <w:annotationRef/>
      </w:r>
      <w:r>
        <w:t>Don’t really think necessary</w:t>
      </w:r>
    </w:p>
  </w:comment>
  <w:comment w:id="9" w:author="Sabrina De Oliveira" w:date="2020-06-19T17:04:00Z" w:initials="SDO">
    <w:p w14:paraId="49633C49" w14:textId="557E3006" w:rsidR="00A4746A" w:rsidRDefault="00A4746A">
      <w:pPr>
        <w:pStyle w:val="CommentText"/>
      </w:pPr>
      <w:r>
        <w:rPr>
          <w:rStyle w:val="CommentReference"/>
        </w:rPr>
        <w:annotationRef/>
      </w:r>
      <w:r>
        <w:t>BUT might discuss hexanoylcarnitine in discussion – if so leave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5B1ECD" w15:done="0"/>
  <w15:commentEx w15:paraId="6E77247E" w15:done="0"/>
  <w15:commentEx w15:paraId="673B8DA6" w15:paraIdParent="6E77247E" w15:done="0"/>
  <w15:commentEx w15:paraId="6EDEDB6B" w15:paraIdParent="6E77247E" w15:done="0"/>
  <w15:commentEx w15:paraId="0F5E1ADD" w15:paraIdParent="6E77247E" w15:done="0"/>
  <w15:commentEx w15:paraId="0051B844" w15:done="0"/>
  <w15:commentEx w15:paraId="0A68889C" w15:done="1"/>
  <w15:commentEx w15:paraId="1FECB13A" w15:done="0"/>
  <w15:commentEx w15:paraId="2F4BF3F1" w15:done="0"/>
  <w15:commentEx w15:paraId="49633C49" w15:paraIdParent="2F4B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9C328" w16cex:dateUtc="2020-06-21T09:29:00Z"/>
  <w16cex:commentExtensible w16cex:durableId="2299FA1F" w16cex:dateUtc="2020-06-21T13:24:00Z"/>
  <w16cex:commentExtensible w16cex:durableId="2299FEC8" w16cex:dateUtc="2020-06-21T13:44:00Z"/>
  <w16cex:commentExtensible w16cex:durableId="229A00DB" w16cex:dateUtc="2020-06-21T13:52:00Z"/>
  <w16cex:commentExtensible w16cex:durableId="229A07CF" w16cex:dateUtc="2020-06-21T14:22:00Z"/>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5B1ECD" w16cid:durableId="2299C328"/>
  <w16cid:commentId w16cid:paraId="6E77247E" w16cid:durableId="2299FA1F"/>
  <w16cid:commentId w16cid:paraId="673B8DA6" w16cid:durableId="2299FEC8"/>
  <w16cid:commentId w16cid:paraId="6EDEDB6B" w16cid:durableId="229A00DB"/>
  <w16cid:commentId w16cid:paraId="0F5E1ADD" w16cid:durableId="229A07CF"/>
  <w16cid:commentId w16cid:paraId="0051B844" w16cid:durableId="2294C550"/>
  <w16cid:commentId w16cid:paraId="0A68889C" w16cid:durableId="2293319B"/>
  <w16cid:commentId w16cid:paraId="1FECB13A" w16cid:durableId="22974465"/>
  <w16cid:commentId w16cid:paraId="2F4BF3F1" w16cid:durableId="22976B1A"/>
  <w16cid:commentId w16cid:paraId="49633C49" w16cid:durableId="22976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20BD7"/>
    <w:rsid w:val="0003111C"/>
    <w:rsid w:val="000338B8"/>
    <w:rsid w:val="00041B49"/>
    <w:rsid w:val="000466CE"/>
    <w:rsid w:val="000525B3"/>
    <w:rsid w:val="00054D70"/>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0FD9"/>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955FE"/>
    <w:rsid w:val="001979D7"/>
    <w:rsid w:val="001A78C4"/>
    <w:rsid w:val="001B438E"/>
    <w:rsid w:val="001B478B"/>
    <w:rsid w:val="001C235B"/>
    <w:rsid w:val="001C38F6"/>
    <w:rsid w:val="001C5C1F"/>
    <w:rsid w:val="001D4194"/>
    <w:rsid w:val="001E52E1"/>
    <w:rsid w:val="001E56C1"/>
    <w:rsid w:val="001E65E5"/>
    <w:rsid w:val="001E671D"/>
    <w:rsid w:val="001E73CA"/>
    <w:rsid w:val="001F36F6"/>
    <w:rsid w:val="002001B5"/>
    <w:rsid w:val="002020D3"/>
    <w:rsid w:val="0020314D"/>
    <w:rsid w:val="00204EDB"/>
    <w:rsid w:val="00211B3E"/>
    <w:rsid w:val="0021432C"/>
    <w:rsid w:val="00222C19"/>
    <w:rsid w:val="00225D2F"/>
    <w:rsid w:val="00226E3C"/>
    <w:rsid w:val="00230393"/>
    <w:rsid w:val="002334FA"/>
    <w:rsid w:val="0024199F"/>
    <w:rsid w:val="00242C10"/>
    <w:rsid w:val="002476B2"/>
    <w:rsid w:val="00252AA8"/>
    <w:rsid w:val="00252BF0"/>
    <w:rsid w:val="002539CF"/>
    <w:rsid w:val="002606CE"/>
    <w:rsid w:val="0027363B"/>
    <w:rsid w:val="002767AA"/>
    <w:rsid w:val="0028112C"/>
    <w:rsid w:val="002821EB"/>
    <w:rsid w:val="00282752"/>
    <w:rsid w:val="0029258A"/>
    <w:rsid w:val="00295288"/>
    <w:rsid w:val="00296158"/>
    <w:rsid w:val="00296DBD"/>
    <w:rsid w:val="00297664"/>
    <w:rsid w:val="002A2224"/>
    <w:rsid w:val="002B12CA"/>
    <w:rsid w:val="002C1335"/>
    <w:rsid w:val="002C1868"/>
    <w:rsid w:val="002C4727"/>
    <w:rsid w:val="002D1094"/>
    <w:rsid w:val="002D3A2F"/>
    <w:rsid w:val="002E0464"/>
    <w:rsid w:val="002E09B2"/>
    <w:rsid w:val="002E7729"/>
    <w:rsid w:val="002F097D"/>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375D9"/>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27F0"/>
    <w:rsid w:val="003F44E4"/>
    <w:rsid w:val="003F7E47"/>
    <w:rsid w:val="00401FBC"/>
    <w:rsid w:val="00403587"/>
    <w:rsid w:val="00405893"/>
    <w:rsid w:val="004223AC"/>
    <w:rsid w:val="00426529"/>
    <w:rsid w:val="00430704"/>
    <w:rsid w:val="00435FB9"/>
    <w:rsid w:val="004375A0"/>
    <w:rsid w:val="004453CE"/>
    <w:rsid w:val="004479D2"/>
    <w:rsid w:val="004546D3"/>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131A"/>
    <w:rsid w:val="00545695"/>
    <w:rsid w:val="005468E5"/>
    <w:rsid w:val="00546976"/>
    <w:rsid w:val="005527BA"/>
    <w:rsid w:val="005562BF"/>
    <w:rsid w:val="00557DF9"/>
    <w:rsid w:val="00563D14"/>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28E7"/>
    <w:rsid w:val="00634806"/>
    <w:rsid w:val="00635FDD"/>
    <w:rsid w:val="006437A3"/>
    <w:rsid w:val="00643F54"/>
    <w:rsid w:val="006545DA"/>
    <w:rsid w:val="006559C9"/>
    <w:rsid w:val="00655E70"/>
    <w:rsid w:val="0066109C"/>
    <w:rsid w:val="00664373"/>
    <w:rsid w:val="00666177"/>
    <w:rsid w:val="00672A52"/>
    <w:rsid w:val="00674E29"/>
    <w:rsid w:val="006758DD"/>
    <w:rsid w:val="00676804"/>
    <w:rsid w:val="00677C47"/>
    <w:rsid w:val="00686CA3"/>
    <w:rsid w:val="00692DFE"/>
    <w:rsid w:val="00694654"/>
    <w:rsid w:val="0069701F"/>
    <w:rsid w:val="00697D71"/>
    <w:rsid w:val="006A0A13"/>
    <w:rsid w:val="006A122B"/>
    <w:rsid w:val="006A1826"/>
    <w:rsid w:val="006A5E09"/>
    <w:rsid w:val="006C100F"/>
    <w:rsid w:val="006C16A6"/>
    <w:rsid w:val="006C21E8"/>
    <w:rsid w:val="006C5EBA"/>
    <w:rsid w:val="006D13F6"/>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0D3D"/>
    <w:rsid w:val="0080130A"/>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D17BD"/>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734E3"/>
    <w:rsid w:val="00986E44"/>
    <w:rsid w:val="00992B3D"/>
    <w:rsid w:val="00995C8F"/>
    <w:rsid w:val="009971AB"/>
    <w:rsid w:val="009A78A9"/>
    <w:rsid w:val="009B2ECA"/>
    <w:rsid w:val="009B469F"/>
    <w:rsid w:val="009B59B5"/>
    <w:rsid w:val="009F3768"/>
    <w:rsid w:val="009F5ADB"/>
    <w:rsid w:val="009F688A"/>
    <w:rsid w:val="00A070D5"/>
    <w:rsid w:val="00A1041F"/>
    <w:rsid w:val="00A10D5F"/>
    <w:rsid w:val="00A13378"/>
    <w:rsid w:val="00A16D47"/>
    <w:rsid w:val="00A17416"/>
    <w:rsid w:val="00A22C98"/>
    <w:rsid w:val="00A3255C"/>
    <w:rsid w:val="00A3326B"/>
    <w:rsid w:val="00A35A05"/>
    <w:rsid w:val="00A35DF9"/>
    <w:rsid w:val="00A36C83"/>
    <w:rsid w:val="00A371A5"/>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0D4"/>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C1A9A"/>
    <w:rsid w:val="00BD06B8"/>
    <w:rsid w:val="00BD13F4"/>
    <w:rsid w:val="00BD2D65"/>
    <w:rsid w:val="00BD34C4"/>
    <w:rsid w:val="00BD518F"/>
    <w:rsid w:val="00BD533A"/>
    <w:rsid w:val="00BD5CE7"/>
    <w:rsid w:val="00BE3361"/>
    <w:rsid w:val="00BF0D4C"/>
    <w:rsid w:val="00C05B84"/>
    <w:rsid w:val="00C13D85"/>
    <w:rsid w:val="00C1406D"/>
    <w:rsid w:val="00C21195"/>
    <w:rsid w:val="00C25782"/>
    <w:rsid w:val="00C27645"/>
    <w:rsid w:val="00C27AAA"/>
    <w:rsid w:val="00C31EE7"/>
    <w:rsid w:val="00C33CC7"/>
    <w:rsid w:val="00C402FD"/>
    <w:rsid w:val="00C4181C"/>
    <w:rsid w:val="00C4316D"/>
    <w:rsid w:val="00C43509"/>
    <w:rsid w:val="00C611CE"/>
    <w:rsid w:val="00C612F5"/>
    <w:rsid w:val="00C63AE7"/>
    <w:rsid w:val="00C64E27"/>
    <w:rsid w:val="00C67CFA"/>
    <w:rsid w:val="00C767FE"/>
    <w:rsid w:val="00C779BD"/>
    <w:rsid w:val="00C8014C"/>
    <w:rsid w:val="00C813D6"/>
    <w:rsid w:val="00C83457"/>
    <w:rsid w:val="00C91D09"/>
    <w:rsid w:val="00C92198"/>
    <w:rsid w:val="00CA68A1"/>
    <w:rsid w:val="00CA7687"/>
    <w:rsid w:val="00CB2C0A"/>
    <w:rsid w:val="00CC29BB"/>
    <w:rsid w:val="00CC3C7F"/>
    <w:rsid w:val="00CD53D8"/>
    <w:rsid w:val="00CE047B"/>
    <w:rsid w:val="00CE5C42"/>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6070D"/>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224D"/>
    <w:rsid w:val="00E4497B"/>
    <w:rsid w:val="00E577C1"/>
    <w:rsid w:val="00E60B24"/>
    <w:rsid w:val="00E62D1B"/>
    <w:rsid w:val="00E6312A"/>
    <w:rsid w:val="00E66BA8"/>
    <w:rsid w:val="00E709E8"/>
    <w:rsid w:val="00E71AAA"/>
    <w:rsid w:val="00E739ED"/>
    <w:rsid w:val="00E76462"/>
    <w:rsid w:val="00E939BA"/>
    <w:rsid w:val="00E9564A"/>
    <w:rsid w:val="00EA2C57"/>
    <w:rsid w:val="00EA4197"/>
    <w:rsid w:val="00EA7343"/>
    <w:rsid w:val="00EA7C5C"/>
    <w:rsid w:val="00EB518D"/>
    <w:rsid w:val="00EC77F7"/>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E1A63"/>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mbridge-org.ezproxy.ub.unimaas.nl/core/services/aop-cambridge-core/content/view/6649F3D8E24414FD6997DBFEAE8A090E/S0029665104000497a.pdf/div-class-title-metabolic-flexibility-div.pdf" TargetMode="External"/><Relationship Id="rId2" Type="http://schemas.openxmlformats.org/officeDocument/2006/relationships/hyperlink" Target="https://www.cell.com/cell-metabolism/pdf/S1550-4131(17)30220-6.pdf" TargetMode="External"/><Relationship Id="rId1" Type="http://schemas.openxmlformats.org/officeDocument/2006/relationships/hyperlink" Target="https://www-cambridge-org.ezproxy.ub.unimaas.nl/core/services/aop-cambridge-core/content/view/6649F3D8E24414FD6997DBFEAE8A090E/S0029665104000497a.pdf/div-class-title-metabolic-flexibility-div.pdf" TargetMode="External"/><Relationship Id="rId4" Type="http://schemas.openxmlformats.org/officeDocument/2006/relationships/hyperlink" Target="https://journals-physiology-org.ezproxy.ub.unimaas.nl/doi/full/10.1152/ajpendo.90558.200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131567/" TargetMode="External"/><Relationship Id="rId18" Type="http://schemas.openxmlformats.org/officeDocument/2006/relationships/hyperlink" Target="https://nyaspubs-onlinelibrary-wiley-com.ezproxy.ub.unimaas.nl/doi/full/10.1111/nyas.14107" TargetMode="External"/><Relationship Id="rId26" Type="http://schemas.openxmlformats.org/officeDocument/2006/relationships/hyperlink" Target="https://www.nature.com/articles/s41467-017-00249-5" TargetMode="External"/><Relationship Id="rId39" Type="http://schemas.openxmlformats.org/officeDocument/2006/relationships/hyperlink" Target="https://pubs.acs.org/doi/abs/10.1021/acs.jproteome.8b00702?casa_token=USD2zPrA-5QAAAAA%3AYyafljBu-Nc16fPtSZTe6iUPJs-9Osr3IunM7yHnmRqfAMPsnYE-OCnVtE63ZJN9MbDSHO4XSTxDSww-&amp;" TargetMode="External"/><Relationship Id="rId3" Type="http://schemas.openxmlformats.org/officeDocument/2006/relationships/styles" Target="styles.xml"/><Relationship Id="rId21" Type="http://schemas.openxmlformats.org/officeDocument/2006/relationships/hyperlink" Target="https://www.jci.org/articles/view/10762" TargetMode="External"/><Relationship Id="rId34" Type="http://schemas.openxmlformats.org/officeDocument/2006/relationships/hyperlink" Target="https://journals.plos.org/ploscompbiol/article?id=10.1371/journal.pcbi.1004085" TargetMode="External"/><Relationship Id="rId42" Type="http://schemas.openxmlformats.org/officeDocument/2006/relationships/image" Target="media/image3.png"/><Relationship Id="rId47"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hindawi.com/journals/ije/2012/983814/" TargetMode="External"/><Relationship Id="rId17" Type="http://schemas.openxmlformats.org/officeDocument/2006/relationships/hyperlink" Target="https://www.thelancet.com/pdfs/journals/ebiom/PIIS2352-3964(19)30800-X.pdf" TargetMode="External"/><Relationship Id="rId25" Type="http://schemas.openxmlformats.org/officeDocument/2006/relationships/hyperlink" Target="http://hmp2-data.stanford.edu/"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www.ncbi.nlm.nih.gov/pmc/articles/PMC403769/"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20" Type="http://schemas.openxmlformats.org/officeDocument/2006/relationships/hyperlink" Target="https://www-sciencedirect-com.ezproxy.ub.unimaas.nl/science/article/pii/S0002914999002118" TargetMode="External"/><Relationship Id="rId29" Type="http://schemas.openxmlformats.org/officeDocument/2006/relationships/hyperlink" Target="https://github.com/jstansfield0/HMP2Data"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ci-org.ezproxy.ub.unimaas.nl/articles/view/77812" TargetMode="External"/><Relationship Id="rId24" Type="http://schemas.openxmlformats.org/officeDocument/2006/relationships/hyperlink" Target="https://www.nature.com/articles/s41586-019-1236-x" TargetMode="External"/><Relationship Id="rId32" Type="http://schemas.openxmlformats.org/officeDocument/2006/relationships/hyperlink" Target="https://academic.oup.com/bioinformatics/article/34/19/3417/4987147" TargetMode="External"/><Relationship Id="rId37" Type="http://schemas.openxmlformats.org/officeDocument/2006/relationships/hyperlink" Target="https://pubmed.ncbi.nlm.nih.gov/31441146/" TargetMode="External"/><Relationship Id="rId40" Type="http://schemas.openxmlformats.org/officeDocument/2006/relationships/hyperlink" Target="https://f1000research.com/articles/7-743"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ciencedirect-com.ezproxy.ub.unimaas.nl/science/article/pii/S0025712510002051" TargetMode="External"/><Relationship Id="rId23" Type="http://schemas.openxmlformats.org/officeDocument/2006/relationships/hyperlink" Target="https://www.ncbi.nlm.nih.gov/pmc/articles/PMC5109542/" TargetMode="External"/><Relationship Id="rId28" Type="http://schemas.openxmlformats.org/officeDocument/2006/relationships/image" Target="media/image1.png"/><Relationship Id="rId36" Type="http://schemas.openxmlformats.org/officeDocument/2006/relationships/hyperlink" Target="https://academic.oup.com/nar/article/46/D1/D661/4612963" TargetMode="External"/><Relationship Id="rId49" Type="http://schemas.openxmlformats.org/officeDocument/2006/relationships/theme" Target="theme/theme1.xml"/><Relationship Id="rId10" Type="http://schemas.openxmlformats.org/officeDocument/2006/relationships/hyperlink" Target="https://www.diabetesatlas.org/" TargetMode="External"/><Relationship Id="rId19" Type="http://schemas.openxmlformats.org/officeDocument/2006/relationships/hyperlink" Target="https://www.nature.com/articles/s41467-018-05357-4" TargetMode="External"/><Relationship Id="rId3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4"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ncbi-nlm-nih-gov.ezproxy.ub.unimaas.nl/books/NBK507839/"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www.pnas.org/content/82/20/6955" TargetMode="Externa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currentprotocols.onlinelibrary.wiley.com/doi/abs/10.1002/cpbi.86" TargetMode="External"/><Relationship Id="rId43" Type="http://schemas.openxmlformats.org/officeDocument/2006/relationships/image" Target="media/image4.png"/><Relationship Id="rId48"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F56E-47E2-46B6-9223-84C22981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24</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594</cp:revision>
  <cp:lastPrinted>2020-06-19T14:05:00Z</cp:lastPrinted>
  <dcterms:created xsi:type="dcterms:W3CDTF">2020-06-17T08:09:00Z</dcterms:created>
  <dcterms:modified xsi:type="dcterms:W3CDTF">2020-06-21T18:16:00Z</dcterms:modified>
</cp:coreProperties>
</file>