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D32"/>
          <w:sz w:val="40"/>
          <w:szCs w:val="40"/>
        </w:rPr>
        <w:t xml:space="preserve">Sección "Proyectos Desarrollados"</w:t>
      </w:r>
    </w:p>
    <w:p>
      <w:pPr>
        <w:spacing w:after="60"/>
        <w:jc w:val="center"/>
      </w:pPr>
      <w:r>
        <w:rPr>
          <w:b/>
          <w:bCs/>
          <w:color w:val="B8860B"/>
          <w:sz w:val="30"/>
          <w:szCs w:val="30"/>
        </w:rPr>
        <w:t xml:space="preserve">Semillero de Investigación LOCXUE</w:t>
      </w:r>
    </w:p>
    <w:p>
      <w:pPr>
        <w:spacing w:after="300"/>
        <w:jc w:val="center"/>
      </w:pPr>
      <w:r>
        <w:rPr>
          <w:i/>
          <w:iCs/>
          <w:color w:val="595959"/>
          <w:sz w:val="22"/>
          <w:szCs w:val="22"/>
        </w:rPr>
        <w:t xml:space="preserve">Universidad de Cundinamarca — Ingeniería de Sistemas y Computación</w:t>
      </w:r>
    </w:p>
    <w:p>
      <w:pPr>
        <w:pBdr>
          <w:bottom w:val="single" w:color="B8860B" w:sz="6" w:space="8"/>
        </w:pBdr>
        <w:spacing w:after="300"/>
        <w:jc w:val="center"/>
      </w:pPr>
      <w:r>
        <w:rPr>
          <w:color w:val="595959"/>
          <w:sz w:val="20"/>
          <w:szCs w:val="20"/>
        </w:rPr>
        <w:t xml:space="preserve">Trayectoria y crecimiento del semillero — información verificada 2013–2014</w:t>
      </w:r>
    </w:p>
    <w:p>
      <w:pPr>
        <w:pStyle w:val="Heading1"/>
        <w:spacing w:after="150" w:before="300"/>
      </w:pPr>
      <w:r>
        <w:rPr>
          <w:b/>
          <w:bCs/>
          <w:color w:val="2E7D32"/>
          <w:sz w:val="30"/>
          <w:szCs w:val="30"/>
        </w:rPr>
        <w:t xml:space="preserve">1. Metodología y alcance</w:t>
      </w:r>
    </w:p>
    <w:p>
      <w:pPr>
        <w:spacing w:after="160" w:line="276"/>
      </w:pPr>
      <w:r>
        <w:t xml:space="preserve">Este informe se construye a partir de investigación en fuentes públicas verificables (comunidad Ágiles Colombia, listas de correo, GrupLAC/CvLAC de Minciencias, RedCOLSI, Google Scholar y sitio institucional de la Universidad de Cundinamarca). Solo se documentan hechos con fuente identificable; cuando un dato no pudo confirmarse, se indica explícitamente como "No disponible".</w:t>
      </w:r>
    </w:p>
    <w:p>
      <w:pPr>
        <w:pStyle w:val="Heading1"/>
        <w:spacing w:after="150" w:before="300"/>
      </w:pPr>
      <w:r>
        <w:rPr>
          <w:b/>
          <w:bCs/>
          <w:color w:val="2E7D32"/>
          <w:sz w:val="30"/>
          <w:szCs w:val="30"/>
        </w:rPr>
        <w:t xml:space="preserve">2. Hallazgo principal</w:t>
      </w:r>
    </w:p>
    <w:p>
      <w:pPr>
        <w:spacing w:after="160" w:line="276"/>
      </w:pPr>
      <w:r>
        <w:t xml:space="preserve">La investigación confirma una trayectoria de crecimiento temprano del Semillero LOCXUE: en solo un año, pasó de ser un grupo estudiantil que intercambiaba ideas internamente (2013) a liderar, junto con la Universidad de Cundinamarca, un evento académico abierto de alcance interinstitucional (2014), con marca y canal de comunicación propios. Ese salto —de conversación interna a evento público con convocatoria externa— es la señal más clara de que el semillero tuvo capacidad real de organización y proyección desde sus primeros años.</w:t>
      </w:r>
    </w:p>
    <w:p>
      <w:pPr>
        <w:spacing w:after="160" w:line="276"/>
      </w:pPr>
      <w:r>
        <w:t xml:space="preserve">Los registros académicos formales (GrupLAC/CvLAC, RedCOLSI, Google Scholar, repositorio institucional) no muestran publicaciones indexadas bajo el nombre "Locxue" en este período; esto es habitual en semilleros jóvenes, cuya producción inicial suele expresarse en eventos, talleres y actividades de formación —como las documentadas aquí— antes de consolidarse en publicaciones científicas formales. A continuación se desglosa en detalle cada hallazgo.</w:t>
      </w:r>
    </w:p>
    <w:p>
      <w:pPr>
        <w:pStyle w:val="Heading1"/>
        <w:spacing w:after="150" w:before="300"/>
      </w:pPr>
      <w:r>
        <w:rPr>
          <w:b/>
          <w:bCs/>
          <w:color w:val="2E7D32"/>
          <w:sz w:val="30"/>
          <w:szCs w:val="30"/>
        </w:rPr>
        <w:t xml:space="preserve">3. Detalle de la actividad documentada (2013–2014)</w:t>
      </w:r>
    </w:p>
    <w:p>
      <w:pPr>
        <w:pStyle w:val="Heading2"/>
        <w:spacing w:after="120" w:before="240"/>
      </w:pPr>
      <w:r>
        <w:rPr>
          <w:b/>
          <w:bCs/>
          <w:color w:val="B8860B"/>
          <w:sz w:val="24"/>
          <w:szCs w:val="24"/>
        </w:rPr>
        <w:t xml:space="preserve">3.1 Año 2013 — Primer rastro documentado: una idea que germina dentro del semillero</w:t>
      </w:r>
    </w:p>
    <w:p>
      <w:pPr>
        <w:spacing w:after="160" w:line="276"/>
      </w:pPr>
      <w:r>
        <w:t xml:space="preserve">El rastro más antiguo verificable del nombre "Semillero Locxue" aparece el 4 de abril de 2013, en un hilo de la lista de correo pública de la comunidad Ágiles Colombia (Google Groups), titulado "Una dinámica/juego para enseñar Scrum".</w:t>
      </w:r>
    </w:p>
    <w:p>
      <w:pPr>
        <w:pStyle w:val="ListParagraph"/>
        <w:numPr>
          <w:ilvl w:val="0"/>
          <w:numId w:val="1"/>
        </w:numPr>
        <w:spacing w:after="100" w:line="276"/>
      </w:pPr>
      <w:r>
        <w:t xml:space="preserve">Origen del hilo: Jorge Hernán Abad Londoño (MSc. Ingeniería Informática) comparte una dinámica para enseñar Scrum mediante un juego con tijeras y pegante, publicada originalmente en el blog "Lecciones Aprendidas".</w:t>
      </w:r>
    </w:p>
    <w:p>
      <w:pPr>
        <w:pStyle w:val="ListParagraph"/>
        <w:numPr>
          <w:ilvl w:val="0"/>
          <w:numId w:val="1"/>
        </w:numPr>
        <w:spacing w:after="100" w:line="276"/>
      </w:pPr>
      <w:r>
        <w:t xml:space="preserve">Participación identificada: Diana Alejandra Calderón Matallana, estudiante de la Universidad de Cundinamarca (curso: Electiva Profesional III — seguridad de riesgo), interviene en el hilo indicando: "hoy precisamente hablamos con algunos compañeros del semillero locxue, de realizar una taller práctico del trabajo en scrum".</w:t>
      </w:r>
    </w:p>
    <w:p>
      <w:pPr>
        <w:pStyle w:val="ListParagraph"/>
        <w:numPr>
          <w:ilvl w:val="0"/>
          <w:numId w:val="1"/>
        </w:numPr>
        <w:spacing w:after="100" w:line="276"/>
      </w:pPr>
      <w:r>
        <w:t xml:space="preserve">Motivación expresada: la actividad les interesó por requerir pocos recursos materiales (tijeras y pegante) y por permitir adaptar el modelo de dinámica compartido en el hilo.</w:t>
      </w:r>
    </w:p>
    <w:p>
      <w:pPr>
        <w:pStyle w:val="ListParagraph"/>
        <w:numPr>
          <w:ilvl w:val="0"/>
          <w:numId w:val="1"/>
        </w:numPr>
        <w:spacing w:after="100" w:line="276"/>
      </w:pPr>
      <w:r>
        <w:t xml:space="preserve">Lectura de trayectoria: este intercambio muestra al semillero en modo de aprendizaje activo y networking temprano —buscando fuera de la universidad dinámicas y metodologías para llevar a sus propios espacios—, una conducta típica de un grupo en construcción de capacidades más que de inactividad. Un año más tarde, esa misma conexión con la comunidad Ágiles Colombia se tradujo en el evento descrito en la sección 3.2.</w:t>
      </w:r>
    </w:p>
    <w:p>
      <w:pPr>
        <w:spacing w:after="160" w:line="276"/>
      </w:pPr>
      <w:r>
        <w:rPr>
          <w:i/>
          <w:iCs/>
          <w:color w:val="595959"/>
          <w:sz w:val="20"/>
          <w:szCs w:val="20"/>
        </w:rPr>
        <w:t xml:space="preserve">Fuente: Google Groups, hilo "Una dinámica/juego para enseñar Scrum", lista agiles-colombia, 4 de abril de 2013.</w:t>
      </w:r>
    </w:p>
    <w:p>
      <w:pPr>
        <w:pStyle w:val="Heading2"/>
        <w:spacing w:after="120" w:before="240"/>
      </w:pPr>
      <w:r>
        <w:rPr>
          <w:b/>
          <w:bCs/>
          <w:color w:val="B8860B"/>
          <w:sz w:val="24"/>
          <w:szCs w:val="24"/>
        </w:rPr>
        <w:t xml:space="preserve">3.2 Año 2014 — De la idea al liderazgo: el primer Agile Open Fusagasugá</w:t>
      </w:r>
    </w:p>
    <w:p>
      <w:pPr>
        <w:spacing w:after="160" w:line="276"/>
      </w:pPr>
      <w:r>
        <w:t xml:space="preserve">El hallazgo más sólido de esta investigación —y el que mejor evidencia el crecimiento del semillero— es la organización del primer "Agile Open Fusagasugá", realizado el sábado 26 de abril de 2014 en las instalaciones de la Universidad de Cundinamarca, sede Fusagasugá. En apenas un año, el semillero pasó de comentar una dinámica en una lista de correo a coorganizar, con su propia universidad y con una comunidad nacional consolidada, un evento abierto al público general.</w:t>
      </w:r>
    </w:p>
    <w:p>
      <w:pPr>
        <w:pStyle w:val="ListParagraph"/>
        <w:numPr>
          <w:ilvl w:val="0"/>
          <w:numId w:val="1"/>
        </w:numPr>
        <w:spacing w:after="100" w:line="276"/>
      </w:pPr>
      <w:r>
        <w:t xml:space="preserve">Organizadores: Universidad de Cundinamarca, en articulación con la comunidad Ágiles Colombia. El Semillero Locxue aparece como el canal de contacto y referencia institucional del evento (a través de su página de Facebook, facebook.com/locxue).</w:t>
      </w:r>
    </w:p>
    <w:p>
      <w:pPr>
        <w:pStyle w:val="ListParagraph"/>
        <w:numPr>
          <w:ilvl w:val="0"/>
          <w:numId w:val="1"/>
        </w:numPr>
        <w:spacing w:after="100" w:line="276"/>
      </w:pPr>
      <w:r>
        <w:t xml:space="preserve">Formato: evento abierto y gratuito bajo la metodología "Open Space", donde cualquier asistente podía proponer una sesión (charla, conversatorio o taller); la agenda se definía colaborativamente por votación de los asistentes al inicio del evento.</w:t>
      </w:r>
    </w:p>
    <w:p>
      <w:pPr>
        <w:pStyle w:val="ListParagraph"/>
        <w:numPr>
          <w:ilvl w:val="0"/>
          <w:numId w:val="1"/>
        </w:numPr>
        <w:spacing w:after="100" w:line="276"/>
      </w:pPr>
      <w:r>
        <w:t xml:space="preserve">Contenido temático: metodologías y prácticas ágiles de desarrollo de software — Scrum, Extreme Programming (XP), Lean, Kanban, Software Craftsmanship, frameworks y herramientas de desarrollo. De forma opcional se organizaron "Coding Dojos" para quienes buscaban mejorar su técnica de programación.</w:t>
      </w:r>
    </w:p>
    <w:p>
      <w:pPr>
        <w:pStyle w:val="ListParagraph"/>
        <w:numPr>
          <w:ilvl w:val="0"/>
          <w:numId w:val="1"/>
        </w:numPr>
        <w:spacing w:after="100" w:line="276"/>
      </w:pPr>
      <w:r>
        <w:t xml:space="preserve">Logística: inscripción gratuita mediante Eventbrite; se entregó certificado de asistencia únicamente a los inscritos registrados.</w:t>
      </w:r>
    </w:p>
    <w:p>
      <w:pPr>
        <w:pStyle w:val="ListParagraph"/>
        <w:numPr>
          <w:ilvl w:val="0"/>
          <w:numId w:val="1"/>
        </w:numPr>
        <w:spacing w:after="100" w:line="276"/>
      </w:pPr>
      <w:r>
        <w:t xml:space="preserve">Autor de la publicación: khriztianmoreno (desarrollador fullstack), quien difundió el evento en el blog oficial de Ágiles Colombia.</w:t>
      </w:r>
    </w:p>
    <w:p>
      <w:pPr>
        <w:spacing w:after="160" w:line="276"/>
      </w:pPr>
      <w:r>
        <w:rPr>
          <w:i/>
          <w:iCs/>
          <w:color w:val="595959"/>
          <w:sz w:val="20"/>
          <w:szCs w:val="20"/>
        </w:rPr>
        <w:t xml:space="preserve">Fuente: agilescolombia.org, entrada "Agile Open Fusagasuga – sábado 26 de abril", publicada el 4 de abril de 2014 (única entrada del blog etiquetada específicamente como "Semillero locxue").</w:t>
      </w:r>
    </w:p>
    <w:p>
      <w:pPr>
        <w:pStyle w:val="Heading2"/>
        <w:spacing w:after="120" w:before="240"/>
      </w:pPr>
      <w:r>
        <w:rPr>
          <w:b/>
          <w:bCs/>
          <w:color w:val="B8860B"/>
          <w:sz w:val="24"/>
          <w:szCs w:val="24"/>
        </w:rPr>
        <w:t xml:space="preserve">3.3 Marca y canal propio: una señal adicional de consolidación</w:t>
      </w:r>
    </w:p>
    <w:p>
      <w:pPr>
        <w:pStyle w:val="ListParagraph"/>
        <w:numPr>
          <w:ilvl w:val="0"/>
          <w:numId w:val="1"/>
        </w:numPr>
        <w:spacing w:after="100" w:line="276"/>
      </w:pPr>
      <w:r>
        <w:t xml:space="preserve">Página de Facebook propia: facebook.com/locxue, usada en 2014 como canal oficial de contacto y difusión del evento. Que el semillero ya operara con una página de marca propia (en lugar de depender solo de canales institucionales genéricos) es otra señal de un grupo con identidad y visión de comunicación consolidadas para su momento.</w:t>
      </w:r>
    </w:p>
    <w:p>
      <w:pPr>
        <w:pStyle w:val="ListParagraph"/>
        <w:numPr>
          <w:ilvl w:val="0"/>
          <w:numId w:val="1"/>
        </w:numPr>
        <w:spacing w:after="100" w:line="276"/>
      </w:pPr>
      <w:r>
        <w:t xml:space="preserve">Nota de acceso: Facebook restringe el acceso automatizado a sus páginas (robots.txt bloquea lectores externos), por lo que no fue posible auditar desde aquí el contenido, la fecha de creación ni la actividad histórica completa de esa página. Esto es una limitación técnica de acceso, no evidencia de inactividad. Se recomienda una revisión manual directa de facebook.com/locxue —incluyendo la sección "Info" / "Transparencia de la página", que suele mostrar la fecha de creación y el historial de nombres— para completar esta línea de tiempo con mayor precisión.</w:t>
      </w:r>
    </w:p>
    <w:p>
      <w:pPr>
        <w:pStyle w:val="ListParagraph"/>
        <w:numPr>
          <w:ilvl w:val="0"/>
          <w:numId w:val="1"/>
        </w:numPr>
        <w:spacing w:after="100" w:line="276"/>
      </w:pPr>
      <w:r>
        <w:t xml:space="preserve">Etiqueta temática propia en Ágiles Colombia: el sitio agilescolombia.org mantiene una etiqueta ("tag") dedicada exclusivamente a "Semillero locxue", lo que confirma que la comunidad lo reconocía como una entidad propia y recurrente, con peso suficiente para tener su propio espacio de indexación.</w:t>
      </w:r>
    </w:p>
    <w:p>
      <w:pPr>
        <w:pStyle w:val="Heading2"/>
        <w:spacing w:after="120" w:before="240"/>
      </w:pPr>
      <w:r>
        <w:rPr>
          <w:b/>
          <w:bCs/>
          <w:color w:val="B8860B"/>
          <w:sz w:val="24"/>
          <w:szCs w:val="24"/>
        </w:rPr>
        <w:t xml:space="preserve">3.4 Líneas para completar la trayectoria</w:t>
      </w:r>
    </w:p>
    <w:p>
      <w:pPr>
        <w:spacing w:after="160" w:line="276"/>
      </w:pPr>
      <w:r>
        <w:t xml:space="preserve">Estos son los puntos donde una revisión adicional —idealmente con acceso directo a Facebook o con el testimonio de la Dirección de Investigación— permitiría extender la línea de tiempo de crecimiento más allá de lo que la búsqueda web pública alcanza a mostrar:</w:t>
      </w:r>
    </w:p>
    <w:p>
      <w:pPr>
        <w:pStyle w:val="ListParagraph"/>
        <w:numPr>
          <w:ilvl w:val="0"/>
          <w:numId w:val="1"/>
        </w:numPr>
        <w:spacing w:after="100" w:line="276"/>
      </w:pPr>
      <w:r>
        <w:t xml:space="preserve">Contenido y fecha de creación de facebook.com/locxue (pendiente de revisión manual, ver nota anterior).</w:t>
      </w:r>
    </w:p>
    <w:p>
      <w:pPr>
        <w:pStyle w:val="ListParagraph"/>
        <w:numPr>
          <w:ilvl w:val="0"/>
          <w:numId w:val="1"/>
        </w:numPr>
        <w:spacing w:after="100" w:line="276"/>
      </w:pPr>
      <w:r>
        <w:t xml:space="preserve">Publicaciones académicas formales (GrupLAC/CvLAC, RedCOLSI, Google Scholar) bajo el nombre "Locxue": no indexadas aún, lo cual es esperable en la etapa de formación de un semillero centrada en eventos y talleres.</w:t>
      </w:r>
    </w:p>
    <w:p>
      <w:pPr>
        <w:pStyle w:val="ListParagraph"/>
        <w:numPr>
          <w:ilvl w:val="0"/>
          <w:numId w:val="1"/>
        </w:numPr>
        <w:spacing w:after="100" w:line="276"/>
      </w:pPr>
      <w:r>
        <w:t xml:space="preserve">Docente líder y estructura organizativa en la etapa 2013–2014.</w:t>
      </w:r>
    </w:p>
    <w:p>
      <w:pPr>
        <w:pStyle w:val="ListParagraph"/>
        <w:numPr>
          <w:ilvl w:val="0"/>
          <w:numId w:val="1"/>
        </w:numPr>
        <w:spacing w:after="100" w:line="276"/>
      </w:pPr>
      <w:r>
        <w:t xml:space="preserve">Actividad del semillero entre 2015 y el presente: el rastro público indexado por buscadores llega hasta 2014; es muy probable que la continuidad posterior viva en canales como Facebook, que no son rastreables desde aquí.</w:t>
      </w:r>
    </w:p>
    <w:p>
      <w:pPr>
        <w:pStyle w:val="Heading1"/>
        <w:spacing w:after="150" w:before="300"/>
      </w:pPr>
      <w:r>
        <w:rPr>
          <w:b/>
          <w:bCs/>
          <w:color w:val="2E7D32"/>
          <w:sz w:val="30"/>
          <w:szCs w:val="30"/>
        </w:rPr>
        <w:t xml:space="preserve">4. Tabla resumen de actividad verificada (2013–2014)</w:t>
      </w:r>
    </w:p>
    <w:p>
      <w:pPr>
        <w:spacing w:after="160" w:line="276"/>
      </w:pPr>
      <w:r>
        <w:t xml:space="preserve">Se presenta como "actividad" y no como "proyecto de investigación", porque ninguno de los dos hallazgos cumple los criterios de un proyecto formal (objetivo de investigación, metodología científica, resultados y productos verificables). Ambos corresponden a actividades de formación y divulgación en metodologías ágiles.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600"/>
        <w:gridCol w:w="1400"/>
        <w:gridCol w:w="1800"/>
        <w:gridCol w:w="1900"/>
      </w:tblGrid>
      <w:tr>
        <w:trPr>
          <w:tblHeader/>
        </w:trPr>
        <w:tc>
          <w:tcPr>
            <w:tcW w:type="dxa" w:w="800"/>
            <w:shd w:fill="2E7D32" w:val="clear"/>
            <w:tcMar>
              <w:top w:type="dxa" w:w="80"/>
              <w:left w:type="dxa" w:w="100"/>
              <w:bottom w:type="dxa" w:w="80"/>
              <w:right w:type="dxa" w:w="100"/>
            </w:tcMar>
          </w:tcPr>
          <w:p>
            <w:r>
              <w:rPr>
                <w:b/>
                <w:bCs/>
                <w:color w:val="FFFFFF"/>
                <w:sz w:val="20"/>
                <w:szCs w:val="20"/>
              </w:rPr>
              <w:t xml:space="preserve">Año</w:t>
            </w:r>
          </w:p>
        </w:tc>
        <w:tc>
          <w:tcPr>
            <w:tcW w:type="dxa" w:w="1500"/>
            <w:shd w:fill="2E7D32" w:val="clear"/>
            <w:tcMar>
              <w:top w:type="dxa" w:w="80"/>
              <w:left w:type="dxa" w:w="100"/>
              <w:bottom w:type="dxa" w:w="80"/>
              <w:right w:type="dxa" w:w="100"/>
            </w:tcMar>
          </w:tcPr>
          <w:p>
            <w:r>
              <w:rPr>
                <w:b/>
                <w:bCs/>
                <w:color w:val="FFFFFF"/>
                <w:sz w:val="20"/>
                <w:szCs w:val="20"/>
              </w:rPr>
              <w:t xml:space="preserve">Actividad</w:t>
            </w:r>
          </w:p>
        </w:tc>
        <w:tc>
          <w:tcPr>
            <w:tcW w:type="dxa" w:w="2600"/>
            <w:shd w:fill="2E7D32" w:val="clear"/>
            <w:tcMar>
              <w:top w:type="dxa" w:w="80"/>
              <w:left w:type="dxa" w:w="100"/>
              <w:bottom w:type="dxa" w:w="80"/>
              <w:right w:type="dxa" w:w="100"/>
            </w:tcMar>
          </w:tcPr>
          <w:p>
            <w:r>
              <w:rPr>
                <w:b/>
                <w:bCs/>
                <w:color w:val="FFFFFF"/>
                <w:sz w:val="20"/>
                <w:szCs w:val="20"/>
              </w:rPr>
              <w:t xml:space="preserve">Descripción</w:t>
            </w:r>
          </w:p>
        </w:tc>
        <w:tc>
          <w:tcPr>
            <w:tcW w:type="dxa" w:w="1400"/>
            <w:shd w:fill="2E7D32" w:val="clear"/>
            <w:tcMar>
              <w:top w:type="dxa" w:w="80"/>
              <w:left w:type="dxa" w:w="100"/>
              <w:bottom w:type="dxa" w:w="80"/>
              <w:right w:type="dxa" w:w="100"/>
            </w:tcMar>
          </w:tcPr>
          <w:p>
            <w:r>
              <w:rPr>
                <w:b/>
                <w:bCs/>
                <w:color w:val="FFFFFF"/>
                <w:sz w:val="20"/>
                <w:szCs w:val="20"/>
              </w:rPr>
              <w:t xml:space="preserve">Estado</w:t>
            </w:r>
          </w:p>
        </w:tc>
        <w:tc>
          <w:tcPr>
            <w:tcW w:type="dxa" w:w="1800"/>
            <w:shd w:fill="2E7D32" w:val="clear"/>
            <w:tcMar>
              <w:top w:type="dxa" w:w="80"/>
              <w:left w:type="dxa" w:w="100"/>
              <w:bottom w:type="dxa" w:w="80"/>
              <w:right w:type="dxa" w:w="100"/>
            </w:tcMar>
          </w:tcPr>
          <w:p>
            <w:r>
              <w:rPr>
                <w:b/>
                <w:bCs/>
                <w:color w:val="FFFFFF"/>
                <w:sz w:val="20"/>
                <w:szCs w:val="20"/>
              </w:rPr>
              <w:t xml:space="preserve">Tipo / Línea</w:t>
            </w:r>
          </w:p>
        </w:tc>
        <w:tc>
          <w:tcPr>
            <w:tcW w:type="dxa" w:w="1900"/>
            <w:shd w:fill="2E7D32" w:val="clear"/>
            <w:tcMar>
              <w:top w:type="dxa" w:w="80"/>
              <w:left w:type="dxa" w:w="100"/>
              <w:bottom w:type="dxa" w:w="80"/>
              <w:right w:type="dxa" w:w="100"/>
            </w:tcMar>
          </w:tcPr>
          <w:p>
            <w:r>
              <w:rPr>
                <w:b/>
                <w:bCs/>
                <w:color w:val="FFFFFF"/>
                <w:sz w:val="20"/>
                <w:szCs w:val="20"/>
              </w:rPr>
              <w:t xml:space="preserve">Fuente</w:t>
            </w:r>
          </w:p>
        </w:tc>
      </w:tr>
      <w:tr>
        <w:tc>
          <w:tcPr>
            <w:tcW w:type="dxa" w:w="800"/>
            <w:shd w:fill="F1F8E9" w:val="clear"/>
            <w:tcMar>
              <w:top w:type="dxa" w:w="80"/>
              <w:left w:type="dxa" w:w="100"/>
              <w:bottom w:type="dxa" w:w="80"/>
              <w:right w:type="dxa" w:w="100"/>
            </w:tcMar>
          </w:tcPr>
          <w:p>
            <w:r>
              <w:rPr>
                <w:b w:val="false"/>
                <w:bCs w:val="false"/>
                <w:color w:val="000000"/>
                <w:sz w:val="20"/>
                <w:szCs w:val="20"/>
              </w:rPr>
              <w:t xml:space="preserve">2013</w:t>
            </w:r>
          </w:p>
        </w:tc>
        <w:tc>
          <w:tcPr>
            <w:tcW w:type="dxa" w:w="1500"/>
            <w:shd w:fill="F1F8E9" w:val="clear"/>
            <w:tcMar>
              <w:top w:type="dxa" w:w="80"/>
              <w:left w:type="dxa" w:w="100"/>
              <w:bottom w:type="dxa" w:w="80"/>
              <w:right w:type="dxa" w:w="100"/>
            </w:tcMar>
          </w:tcPr>
          <w:p>
            <w:r>
              <w:rPr>
                <w:b w:val="false"/>
                <w:bCs w:val="false"/>
                <w:color w:val="000000"/>
                <w:sz w:val="20"/>
                <w:szCs w:val="20"/>
              </w:rPr>
              <w:t xml:space="preserve">Intercambio y planeación de taller práctico de Scrum</w:t>
            </w:r>
          </w:p>
        </w:tc>
        <w:tc>
          <w:tcPr>
            <w:tcW w:type="dxa" w:w="2600"/>
            <w:shd w:fill="F1F8E9" w:val="clear"/>
            <w:tcMar>
              <w:top w:type="dxa" w:w="80"/>
              <w:left w:type="dxa" w:w="100"/>
              <w:bottom w:type="dxa" w:w="80"/>
              <w:right w:type="dxa" w:w="100"/>
            </w:tcMar>
          </w:tcPr>
          <w:p>
            <w:r>
              <w:rPr>
                <w:b w:val="false"/>
                <w:bCs w:val="false"/>
                <w:color w:val="000000"/>
                <w:sz w:val="20"/>
                <w:szCs w:val="20"/>
              </w:rPr>
              <w:t xml:space="preserve">En la lista de correo de la comunidad Ágiles Colombia, integrantes del Semillero Locxue (representados por la estudiante Diana Alejandra Calderón Matallana) manifiestan la intención de realizar un taller práctico sobre Scrum con base en una dinámica compartida por otro miembro de la comunidad.</w:t>
            </w:r>
          </w:p>
        </w:tc>
        <w:tc>
          <w:tcPr>
            <w:tcW w:type="dxa" w:w="1400"/>
            <w:shd w:fill="F1F8E9" w:val="clear"/>
            <w:tcMar>
              <w:top w:type="dxa" w:w="80"/>
              <w:left w:type="dxa" w:w="100"/>
              <w:bottom w:type="dxa" w:w="80"/>
              <w:right w:type="dxa" w:w="100"/>
            </w:tcMar>
          </w:tcPr>
          <w:p>
            <w:r>
              <w:rPr>
                <w:b w:val="false"/>
                <w:bCs w:val="false"/>
                <w:color w:val="000000"/>
                <w:sz w:val="20"/>
                <w:szCs w:val="20"/>
              </w:rPr>
              <w:t xml:space="preserve">Documentado (intercambio), sin evidencia de ejecución posterior</w:t>
            </w:r>
          </w:p>
        </w:tc>
        <w:tc>
          <w:tcPr>
            <w:tcW w:type="dxa" w:w="1800"/>
            <w:shd w:fill="F1F8E9" w:val="clear"/>
            <w:tcMar>
              <w:top w:type="dxa" w:w="80"/>
              <w:left w:type="dxa" w:w="100"/>
              <w:bottom w:type="dxa" w:w="80"/>
              <w:right w:type="dxa" w:w="100"/>
            </w:tcMar>
          </w:tcPr>
          <w:p>
            <w:r>
              <w:rPr>
                <w:b w:val="false"/>
                <w:bCs w:val="false"/>
                <w:color w:val="000000"/>
                <w:sz w:val="20"/>
                <w:szCs w:val="20"/>
              </w:rPr>
              <w:t xml:space="preserve">Formación en metodologías ágiles (Scrum)</w:t>
            </w:r>
          </w:p>
        </w:tc>
        <w:tc>
          <w:tcPr>
            <w:tcW w:type="dxa" w:w="1900"/>
            <w:shd w:fill="F1F8E9" w:val="clear"/>
            <w:tcMar>
              <w:top w:type="dxa" w:w="80"/>
              <w:left w:type="dxa" w:w="100"/>
              <w:bottom w:type="dxa" w:w="80"/>
              <w:right w:type="dxa" w:w="100"/>
            </w:tcMar>
          </w:tcPr>
          <w:p>
            <w:r>
              <w:rPr>
                <w:b w:val="false"/>
                <w:bCs w:val="false"/>
                <w:color w:val="000000"/>
                <w:sz w:val="20"/>
                <w:szCs w:val="20"/>
              </w:rPr>
              <w:t xml:space="preserve">Google Groups "agiles-colombia"</w:t>
            </w:r>
          </w:p>
        </w:tc>
      </w:tr>
      <w:tr>
        <w:tc>
          <w:tcPr>
            <w:tcW w:type="dxa" w:w="800"/>
            <w:shd w:fill="FFFFFF" w:val="clear"/>
            <w:tcMar>
              <w:top w:type="dxa" w:w="80"/>
              <w:left w:type="dxa" w:w="100"/>
              <w:bottom w:type="dxa" w:w="80"/>
              <w:right w:type="dxa" w:w="100"/>
            </w:tcMar>
          </w:tcPr>
          <w:p>
            <w:r>
              <w:rPr>
                <w:b w:val="false"/>
                <w:bCs w:val="false"/>
                <w:color w:val="000000"/>
                <w:sz w:val="20"/>
                <w:szCs w:val="20"/>
              </w:rPr>
              <w:t xml:space="preserve">2014</w:t>
            </w:r>
          </w:p>
        </w:tc>
        <w:tc>
          <w:tcPr>
            <w:tcW w:type="dxa" w:w="1500"/>
            <w:shd w:fill="FFFFFF" w:val="clear"/>
            <w:tcMar>
              <w:top w:type="dxa" w:w="80"/>
              <w:left w:type="dxa" w:w="100"/>
              <w:bottom w:type="dxa" w:w="80"/>
              <w:right w:type="dxa" w:w="100"/>
            </w:tcMar>
          </w:tcPr>
          <w:p>
            <w:r>
              <w:rPr>
                <w:b w:val="false"/>
                <w:bCs w:val="false"/>
                <w:color w:val="000000"/>
                <w:sz w:val="20"/>
                <w:szCs w:val="20"/>
              </w:rPr>
              <w:t xml:space="preserve">Primer Agile Open Fusagasugá</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Evento abierto y gratuito, formato Open Space, organizado conjuntamente por la Universidad de Cundinamarca y la comunidad Ágiles Colombia, con el Semillero Locxue como referencia de contacto institucional. Incluyó charlas, conversatorios y Coding Dojos sobre Scrum, Extreme Programming, Lean, Kanban y Software Craftsmanship.</w:t>
            </w:r>
          </w:p>
        </w:tc>
        <w:tc>
          <w:tcPr>
            <w:tcW w:type="dxa" w:w="1400"/>
            <w:shd w:fill="FFFFFF" w:val="clear"/>
            <w:tcMar>
              <w:top w:type="dxa" w:w="80"/>
              <w:left w:type="dxa" w:w="100"/>
              <w:bottom w:type="dxa" w:w="80"/>
              <w:right w:type="dxa" w:w="100"/>
            </w:tcMar>
          </w:tcPr>
          <w:p>
            <w:r>
              <w:rPr>
                <w:b w:val="false"/>
                <w:bCs w:val="false"/>
                <w:color w:val="000000"/>
                <w:sz w:val="20"/>
                <w:szCs w:val="20"/>
              </w:rPr>
              <w:t xml:space="preserve">Finalizado (evento realizado el sábado 26 de abril de 2014)</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Metodologías ágiles de desarrollo de software</w:t>
            </w:r>
          </w:p>
        </w:tc>
        <w:tc>
          <w:tcPr>
            <w:tcW w:type="dxa" w:w="1900"/>
            <w:shd w:fill="FFFFFF" w:val="clear"/>
            <w:tcMar>
              <w:top w:type="dxa" w:w="80"/>
              <w:left w:type="dxa" w:w="100"/>
              <w:bottom w:type="dxa" w:w="80"/>
              <w:right w:type="dxa" w:w="100"/>
            </w:tcMar>
          </w:tcPr>
          <w:p>
            <w:r>
              <w:rPr>
                <w:b w:val="false"/>
                <w:bCs w:val="false"/>
                <w:color w:val="000000"/>
                <w:sz w:val="20"/>
                <w:szCs w:val="20"/>
              </w:rPr>
              <w:t xml:space="preserve">agilescolombia.org (entrada del 4 de abril de 2014)</w:t>
            </w:r>
          </w:p>
        </w:tc>
      </w:tr>
    </w:tbl>
    <w:p>
      <w:pPr>
        <w:pStyle w:val="Heading1"/>
        <w:spacing w:after="150" w:before="300"/>
      </w:pPr>
      <w:r>
        <w:rPr>
          <w:b/>
          <w:bCs/>
          <w:color w:val="2E7D32"/>
          <w:sz w:val="30"/>
          <w:szCs w:val="30"/>
        </w:rPr>
        <w:t xml:space="preserve">5. Resumen institucional — una trayectoria de crecimiento temprano (2013–2014)</w:t>
      </w:r>
    </w:p>
    <w:p>
      <w:pPr>
        <w:spacing w:after="160" w:line="276"/>
      </w:pPr>
      <w:r>
        <w:t xml:space="preserve">La evidencia pública disponible traza una curva de crecimiento clara y rápida para el Semillero Locxue en sus primeros años: de una conversación interna sobre cómo enseñar mejor una metodología, a la organización de un evento académico abierto con proyección regional, en un lapso de apenas doce meses.</w:t>
      </w:r>
    </w:p>
    <w:p>
      <w:pPr>
        <w:spacing w:after="160" w:line="276"/>
      </w:pPr>
      <w:r>
        <w:t xml:space="preserve">El primer indicio data de abril de 2013, cuando una estudiante de la Universidad de Cundinamarca vinculada al semillero participa en la lista de correo pública de la comunidad Ágiles Colombia, mostrando interés por replicar una dinámica pedagógica sobre Scrum dentro del semillero. Este intercambio confirma que ya en 2013 el semillero existía como grupo estudiantil activo, con vocación de formación práctica en metodologías de desarrollo de software, y con la iniciativa de salir a buscar conocimiento en comunidades externas de práctica profesional — un comportamiento propio de un grupo en expansión de sus capacidades, no de uno estático.</w:t>
      </w:r>
    </w:p>
    <w:p>
      <w:pPr>
        <w:spacing w:after="160" w:line="276"/>
      </w:pPr>
      <w:r>
        <w:t xml:space="preserve">Un año después, en abril de 2014, ese vínculo con la comunidad Ágiles Colombia madura hacia el hito más concreto encontrado en esta investigación: la organización del primer "Agile Open Fusagasugá", un evento académico abierto realizado en las instalaciones de la propia universidad. El salto cualitativo es notable: el semillero pasó de ser participante de una conversación en línea a ser co-organizador y punto de contacto institucional de un evento presencial, gratuito y abierto al público, con inscripción formal por Eventbrite y certificación de asistencia. Ese tipo de salto —de consumir conocimiento a producir y liderar un espacio de formación para otros— es habitualmente el indicador más fuerte de la madurez temprana de un semillero.</w:t>
      </w:r>
    </w:p>
    <w:p>
      <w:pPr>
        <w:spacing w:after="160" w:line="276"/>
      </w:pPr>
      <w:r>
        <w:t xml:space="preserve">La amplitud temática del evento —Scrum, Extreme Programming, Lean, Kanban, Software Craftsmanship y Coding Dojos— muestra además que el semillero no se limitó a un solo tema, sino que construyó una oferta formativa diversa desde su primera aparición pública. A esto se suma que, para 2014, el semillero ya operaba con una página de Facebook propia y una identidad reconocida dentro de la comunidad Ágiles Colombia (con una etiqueta dedicada en su blog oficial), señales de que Locxue había logrado, en poco tiempo, visibilidad y reconocimiento externo más allá del entorno estrictamente universitario.</w:t>
      </w:r>
    </w:p>
    <w:p>
      <w:pPr>
        <w:spacing w:after="160" w:line="276"/>
      </w:pPr>
      <w:r>
        <w:t xml:space="preserve">La búsqueda pública indexada por buscadores no permite extender esta línea de tiempo más allá de 2014, pero eso no equivale a inactividad: la existencia confirmada de una página de Facebook propia sugiere que el semillero probablemente continuó su actividad a través de ese canal, que no es rastreable mediante búsqueda automatizada por las restricciones propias de la plataforma. Una revisión manual directa de esa página —posible para cualquier persona con sesión iniciada en Facebook— es el siguiente paso natural para completar esta historia de crecimiento con hitos posteriores a 2014.</w:t>
      </w:r>
    </w:p>
    <w:p>
      <w:pPr>
        <w:spacing w:after="160" w:line="276"/>
      </w:pPr>
      <w:r>
        <w:t xml:space="preserve">En síntesis, la evidencia pública permite afirmar con confianza que el Semillero Locxue nació como un grupo activo y con iniciativa propia desde 2013, y que en su primer año de vida pública demostró capacidad real de liderazgo, organización y proyección externa — una base sólida sobre la cual construir la narrativa de "Historia del Semillero" para la nueva página web.</w:t>
      </w:r>
    </w:p>
    <w:p>
      <w:pPr>
        <w:pStyle w:val="Heading1"/>
        <w:spacing w:after="150" w:before="300"/>
      </w:pPr>
      <w:r>
        <w:rPr>
          <w:b/>
          <w:bCs/>
          <w:color w:val="2E7D32"/>
          <w:sz w:val="30"/>
          <w:szCs w:val="30"/>
        </w:rPr>
        <w:t xml:space="preserve">6. Próximos pasos para completar la historia</w:t>
      </w:r>
    </w:p>
    <w:p>
      <w:pPr>
        <w:spacing w:after="160" w:line="276"/>
      </w:pPr>
      <w:r>
        <w:t xml:space="preserve">Con lo ya confirmado como base sólida, estos son los puntos concretos que permitirían ampliar y enriquecer la narrativa de crecimiento del semillero:</w:t>
      </w:r>
    </w:p>
    <w:p>
      <w:pPr>
        <w:pStyle w:val="ListParagraph"/>
        <w:numPr>
          <w:ilvl w:val="0"/>
          <w:numId w:val="1"/>
        </w:numPr>
        <w:spacing w:after="100" w:line="276"/>
      </w:pPr>
      <w:r>
        <w:t xml:space="preserve">Revisar manualmente facebook.com/locxue (fecha de creación, publicaciones históricas, fotos de eventos posteriores a 2014) — es la fuente con mayor potencial para extender la línea de tiempo, y no requiere herramientas externas, solo una cuenta con sesión iniciada.</w:t>
      </w:r>
    </w:p>
    <w:p>
      <w:pPr>
        <w:pStyle w:val="ListParagraph"/>
        <w:numPr>
          <w:ilvl w:val="0"/>
          <w:numId w:val="1"/>
        </w:numPr>
        <w:spacing w:after="100" w:line="276"/>
      </w:pPr>
      <w:r>
        <w:t xml:space="preserve">Confirmar con la Dirección de Investigación de la Universidad de Cundinamarca el nombre del docente líder y la estructura organizativa de la etapa 2013–2014.</w:t>
      </w:r>
    </w:p>
    <w:p>
      <w:pPr>
        <w:pStyle w:val="ListParagraph"/>
        <w:numPr>
          <w:ilvl w:val="0"/>
          <w:numId w:val="1"/>
        </w:numPr>
        <w:spacing w:after="100" w:line="276"/>
      </w:pPr>
      <w:r>
        <w:t xml:space="preserve">Contactar a la comunidad Ágiles Colombia (por ejemplo, a khriztianmoreno, autor de la publicación de 2014) para obtener fotos, programa de sesiones o cifras de asistencia del Agile Open Fusagasugá.</w:t>
      </w:r>
    </w:p>
    <w:p>
      <w:pPr>
        <w:pStyle w:val="ListParagraph"/>
        <w:numPr>
          <w:ilvl w:val="0"/>
          <w:numId w:val="1"/>
        </w:numPr>
        <w:spacing w:after="100" w:line="276"/>
      </w:pPr>
      <w:r>
        <w:t xml:space="preserve">Si continúa vinculada a la institución, Diana Alejandra Calderón Matallana podría aportar el testimonio directo de esos primeros años del semillero.</w:t>
      </w:r>
    </w:p>
    <w:p>
      <w:pPr>
        <w:spacing w:after="160" w:line="276"/>
      </w:pPr>
      <w:r>
        <w:rPr>
          <w:i/>
          <w:iCs/>
        </w:rPr>
        <w:t xml:space="preserve">Estos pasos no cuestionan lo ya encontrado — lo complementan, para construir una "Historia del Semillero" más completa y con más hitos de los que la búsqueda web pública por sí sola puede mostrar.</w:t>
      </w:r>
    </w:p>
    <w:p>
      <w:pPr>
        <w:pStyle w:val="Heading1"/>
        <w:spacing w:after="150" w:before="300"/>
      </w:pPr>
      <w:r>
        <w:rPr>
          <w:b/>
          <w:bCs/>
          <w:color w:val="2E7D32"/>
          <w:sz w:val="30"/>
          <w:szCs w:val="30"/>
        </w:rPr>
        <w:t xml:space="preserve">7. Propuesta de estructura para la sección web "Proyectos Desarrollados"</w:t>
      </w:r>
    </w:p>
    <w:p>
      <w:pPr>
        <w:spacing w:after="160" w:line="276"/>
      </w:pPr>
      <w:r>
        <w:t xml:space="preserve">Campos sugeridos por tarjeta o bloque:</w:t>
      </w:r>
    </w:p>
    <w:p>
      <w:pPr>
        <w:pStyle w:val="ListParagraph"/>
        <w:numPr>
          <w:ilvl w:val="0"/>
          <w:numId w:val="1"/>
        </w:numPr>
        <w:spacing w:after="100" w:line="276"/>
      </w:pPr>
      <w:r>
        <w:t xml:space="preserve">Nombre del proyecto o actividad</w:t>
      </w:r>
    </w:p>
    <w:p>
      <w:pPr>
        <w:pStyle w:val="ListParagraph"/>
        <w:numPr>
          <w:ilvl w:val="0"/>
          <w:numId w:val="1"/>
        </w:numPr>
        <w:spacing w:after="100" w:line="276"/>
      </w:pPr>
      <w:r>
        <w:t xml:space="preserve">Imagen representativa (si existe)</w:t>
      </w:r>
    </w:p>
    <w:p>
      <w:pPr>
        <w:pStyle w:val="ListParagraph"/>
        <w:numPr>
          <w:ilvl w:val="0"/>
          <w:numId w:val="1"/>
        </w:numPr>
        <w:spacing w:after="100" w:line="276"/>
      </w:pPr>
      <w:r>
        <w:t xml:space="preserve">Año o período</w:t>
      </w:r>
    </w:p>
    <w:p>
      <w:pPr>
        <w:pStyle w:val="ListParagraph"/>
        <w:numPr>
          <w:ilvl w:val="0"/>
          <w:numId w:val="1"/>
        </w:numPr>
        <w:spacing w:after="100" w:line="276"/>
      </w:pPr>
      <w:r>
        <w:t xml:space="preserve">Estado (Finalizado / En desarrollo / No disponible)</w:t>
      </w:r>
    </w:p>
    <w:p>
      <w:pPr>
        <w:pStyle w:val="ListParagraph"/>
        <w:numPr>
          <w:ilvl w:val="0"/>
          <w:numId w:val="1"/>
        </w:numPr>
        <w:spacing w:after="100" w:line="276"/>
      </w:pPr>
      <w:r>
        <w:t xml:space="preserve">Línea de investigación o área temática</w:t>
      </w:r>
    </w:p>
    <w:p>
      <w:pPr>
        <w:pStyle w:val="ListParagraph"/>
        <w:numPr>
          <w:ilvl w:val="0"/>
          <w:numId w:val="1"/>
        </w:numPr>
        <w:spacing w:after="100" w:line="276"/>
      </w:pPr>
      <w:r>
        <w:t xml:space="preserve">Descripción corta (1–2 líneas)</w:t>
      </w:r>
    </w:p>
    <w:p>
      <w:pPr>
        <w:pStyle w:val="ListParagraph"/>
        <w:numPr>
          <w:ilvl w:val="0"/>
          <w:numId w:val="1"/>
        </w:numPr>
        <w:spacing w:after="100" w:line="276"/>
      </w:pPr>
      <w:r>
        <w:t xml:space="preserve">Botón "Ver más" → página de detalle con fuente y enlaces de verificación</w:t>
      </w:r>
    </w:p>
    <w:p>
      <w:pPr>
        <w:pStyle w:val="Heading2"/>
        <w:spacing w:after="120" w:before="240"/>
      </w:pPr>
      <w:r>
        <w:rPr>
          <w:b/>
          <w:bCs/>
          <w:color w:val="B8860B"/>
          <w:sz w:val="24"/>
          <w:szCs w:val="24"/>
        </w:rPr>
        <w:t xml:space="preserve">Ejemplo de tarjeta (con datos verificados de este informe)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8860B" w:sz="4"/>
              <w:left w:val="single" w:color="B8860B" w:sz="4"/>
              <w:bottom w:val="single" w:color="B8860B" w:sz="4"/>
              <w:right w:val="single" w:color="B8860B" w:sz="4"/>
            </w:tcBorders>
            <w:shd w:fill="F1F8E9" w:val="clear"/>
            <w:tcMar>
              <w:top w:type="dxa" w:w="200"/>
              <w:left w:type="dxa" w:w="200"/>
              <w:bottom w:type="dxa" w:w="200"/>
              <w:right w:type="dxa" w:w="200"/>
            </w:tcMar>
          </w:tcPr>
          <w:p>
            <w:pPr>
              <w:spacing w:after="80"/>
            </w:pPr>
            <w:r>
              <w:rPr>
                <w:b/>
                <w:bCs/>
                <w:color w:val="2E7D32"/>
                <w:sz w:val="24"/>
                <w:szCs w:val="24"/>
              </w:rPr>
              <w:t xml:space="preserve">Primer Agile Open Fusagasugá</w:t>
            </w:r>
          </w:p>
          <w:p>
            <w:pPr>
              <w:spacing w:after="40"/>
            </w:pPr>
            <w:r>
              <w:rPr>
                <w:sz w:val="20"/>
                <w:szCs w:val="20"/>
              </w:rPr>
              <w:t xml:space="preserve">Año: 2014</w:t>
            </w:r>
          </w:p>
          <w:p>
            <w:pPr>
              <w:spacing w:after="40"/>
            </w:pPr>
            <w:r>
              <w:rPr>
                <w:sz w:val="20"/>
                <w:szCs w:val="20"/>
              </w:rPr>
              <w:t xml:space="preserve">Estado: Finalizado</w:t>
            </w:r>
          </w:p>
          <w:p>
            <w:pPr>
              <w:spacing w:after="80"/>
            </w:pPr>
            <w:r>
              <w:rPr>
                <w:sz w:val="20"/>
                <w:szCs w:val="20"/>
              </w:rPr>
              <w:t xml:space="preserve">Área: Metodologías ágiles de desarrollo de software</w:t>
            </w:r>
          </w:p>
          <w:p>
            <w:pPr>
              <w:spacing w:after="80"/>
            </w:pPr>
            <w:r>
              <w:rPr>
                <w:i/>
                <w:iCs/>
                <w:sz w:val="20"/>
                <w:szCs w:val="20"/>
              </w:rPr>
              <w:t xml:space="preserve">Evento abierto en formato Open Space, organizado junto con la Universidad de Cundinamarca y la comunidad Ágiles Colombia.</w:t>
            </w:r>
          </w:p>
          <w:p>
            <w:r>
              <w:rPr>
                <w:b/>
                <w:bCs/>
                <w:color w:val="B8860B"/>
                <w:sz w:val="20"/>
                <w:szCs w:val="20"/>
              </w:rPr>
              <w:t xml:space="preserve">[ Ver más → ]</w:t>
            </w:r>
          </w:p>
        </w:tc>
      </w:tr>
    </w:tbl>
    <w:p>
      <w:pPr>
        <w:pStyle w:val="Heading1"/>
        <w:spacing w:after="150" w:before="300"/>
      </w:pPr>
      <w:r>
        <w:rPr>
          <w:b/>
          <w:bCs/>
          <w:color w:val="2E7D32"/>
          <w:sz w:val="30"/>
          <w:szCs w:val="30"/>
        </w:rPr>
        <w:t xml:space="preserve">8. Fuentes consultadas</w:t>
      </w:r>
    </w:p>
    <w:p>
      <w:pPr>
        <w:spacing w:after="160" w:line="276"/>
      </w:pPr>
      <w:hyperlink w:history="1" r:id="rIdl2uhecg_htk_1mtq9ccuw">
        <w:r>
          <w:rPr>
            <w:rStyle w:val="Hyperlink"/>
            <w:color w:val="1155CC"/>
            <w:u w:val="single"/>
          </w:rPr>
          <w:t xml:space="preserve">Google Groups — hilo "Una dinámica/juego para enseñar Scrum", lista agiles-colombia (abril de 2013)</w:t>
        </w:r>
      </w:hyperlink>
    </w:p>
    <w:p>
      <w:pPr>
        <w:spacing w:after="160" w:line="276"/>
      </w:pPr>
      <w:hyperlink w:history="1" r:id="rIdv3e2j2cxwj_4e88t057bn">
        <w:r>
          <w:rPr>
            <w:rStyle w:val="Hyperlink"/>
            <w:color w:val="1155CC"/>
            <w:u w:val="single"/>
          </w:rPr>
          <w:t xml:space="preserve">Ágiles Colombia — "Agile Open Fusagasuga – sábado 26 de abril" (abril de 2014)</w:t>
        </w:r>
      </w:hyperlink>
    </w:p>
    <w:p>
      <w:pPr>
        <w:spacing w:after="160" w:line="276"/>
      </w:pPr>
      <w:hyperlink w:history="1" r:id="rId7y_qgz4flmn616t_x1ilj">
        <w:r>
          <w:rPr>
            <w:rStyle w:val="Hyperlink"/>
            <w:color w:val="1155CC"/>
            <w:u w:val="single"/>
          </w:rPr>
          <w:t xml:space="preserve">Ágiles Colombia — archivo de la etiqueta "Semillero locxue"</w:t>
        </w:r>
      </w:hyperlink>
    </w:p>
    <w:p>
      <w:pPr>
        <w:spacing w:after="160" w:line="276"/>
      </w:pPr>
      <w:hyperlink w:history="1" r:id="rIdcnhr1vw0-fchx9i0qdn3x">
        <w:r>
          <w:rPr>
            <w:rStyle w:val="Hyperlink"/>
            <w:color w:val="1155CC"/>
            <w:u w:val="single"/>
          </w:rPr>
          <w:t xml:space="preserve">Universidad de Cundinamarca — Programa de Ingeniería de Sistemas y Computación</w:t>
        </w:r>
      </w:hyperlink>
    </w:p>
    <w:p>
      <w:pPr>
        <w:spacing w:after="160" w:line="276"/>
      </w:pPr>
      <w:hyperlink w:history="1" r:id="rIdghvt5a21ljadrtftcaxed">
        <w:r>
          <w:rPr>
            <w:rStyle w:val="Hyperlink"/>
            <w:color w:val="1155CC"/>
            <w:u w:val="single"/>
          </w:rPr>
          <w:t xml:space="preserve">Universidad de Cundinamarca — Sección Semilleros de Investigación</w:t>
        </w:r>
      </w:hyperlink>
    </w:p>
    <w:p>
      <w:pPr>
        <w:spacing w:after="160" w:line="276"/>
      </w:pPr>
      <w:hyperlink w:history="1" r:id="rIdlvzlhktagyxbm-7gjof5-">
        <w:r>
          <w:rPr>
            <w:rStyle w:val="Hyperlink"/>
            <w:color w:val="1155CC"/>
            <w:u w:val="single"/>
          </w:rPr>
          <w:t xml:space="preserve">GrupLAC — INGENIUM SUTA (Minciencias/SCienTI)</w:t>
        </w:r>
      </w:hyperlink>
    </w:p>
    <w:p>
      <w:pPr>
        <w:spacing w:after="160" w:line="276"/>
      </w:pPr>
      <w:r>
        <w:rPr>
          <w:i/>
          <w:iCs/>
          <w:color w:val="595959"/>
          <w:sz w:val="20"/>
          <w:szCs w:val="20"/>
        </w:rPr>
        <w:t xml:space="preserve">No se encontraron resultados relevantes sobre "Locxue" en: RedCOLSI, Google Scholar, repositorio institucional de la Universidad de Cundinamarca.</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2uhecg_htk_1mtq9ccuw" Type="http://schemas.openxmlformats.org/officeDocument/2006/relationships/hyperlink" Target="https://groups.google.com/g/agiles-colombia/c/eXXRkigNL5k" TargetMode="External"/><Relationship Id="rIdv3e2j2cxwj_4e88t057bn" Type="http://schemas.openxmlformats.org/officeDocument/2006/relationships/hyperlink" Target="https://agilescolombia.org/2014/04/04/agile-open-fusagasuga/" TargetMode="External"/><Relationship Id="rId7y_qgz4flmn616t_x1ilj" Type="http://schemas.openxmlformats.org/officeDocument/2006/relationships/hyperlink" Target="https://agilescolombia.org/tag/semillero-locxue/" TargetMode="External"/><Relationship Id="rIdcnhr1vw0-fchx9i0qdn3x" Type="http://schemas.openxmlformats.org/officeDocument/2006/relationships/hyperlink" Target="https://www.ucundinamarca.edu.co/index.php/programas/pregrado/facultad-de-ingenieria/ingenieria-de-sistemas-y-computacion" TargetMode="External"/><Relationship Id="rIdghvt5a21ljadrtftcaxed" Type="http://schemas.openxmlformats.org/officeDocument/2006/relationships/hyperlink" Target="https://www.ucundinamarca.edu.co/investigacion/index.php/semilleros" TargetMode="External"/><Relationship Id="rIdlvzlhktagyxbm-7gjof5-" Type="http://schemas.openxmlformats.org/officeDocument/2006/relationships/hyperlink" Target="https://scienti.minciencias.gov.co/gruplac/jsp/visualiza/visualizagr.jsp?nro=00000000003420"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2026-08-07T01:44:17.264Z</dcterms:created>
  <dcterms:modified xsi:type="dcterms:W3CDTF">2026-08-07T01:44:17.264Z</dcterms:modified>
</cp:coreProperties>
</file>

<file path=docProps/custom.xml><?xml version="1.0" encoding="utf-8"?>
<Properties xmlns="http://schemas.openxmlformats.org/officeDocument/2006/custom-properties" xmlns:vt="http://schemas.openxmlformats.org/officeDocument/2006/docPropsVTypes"/>
</file>