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g46xfxzy0oc" w:id="0"/>
      <w:bookmarkEnd w:id="0"/>
      <w:r w:rsidDel="00000000" w:rsidR="00000000" w:rsidRPr="00000000">
        <w:rPr>
          <w:rtl w:val="0"/>
        </w:rPr>
        <w:t xml:space="preserve">Minerva Abstract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22 percent of turnover happens in the first 45 days from the start of employment. Onboarding is critical for the longevity of a new hire’s career at any company. Minerva</w:t>
      </w:r>
      <w:r w:rsidDel="00000000" w:rsidR="00000000" w:rsidRPr="00000000">
        <w:rPr>
          <w:rtl w:val="0"/>
        </w:rPr>
        <w:t xml:space="preserve"> is a new employee’s one stop service for onboarding resources. Minerva is a web application that holds all of the resources that new hires will receive in their training period, as well as all the presenting material a trainer will need. Minerva uses ASP.NET, SQL server, and Bootstrap to hold the entirety of user’s resources and be ready on hand.</w:t>
      </w:r>
      <w:r w:rsidDel="00000000" w:rsidR="00000000" w:rsidRPr="00000000">
        <w:rPr>
          <w:rtl w:val="0"/>
        </w:rPr>
        <w:t xml:space="preserve"> Minerva will work by creating network drives for each employee on hire and assign them all of the materials they will need for their specific training. This will allow trainers and trainees to have their resources available before their first day of training. This prevents lack of information and unpreparedness for the first day.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