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  <w:rtl w:val="0"/>
        </w:rPr>
        <w:t xml:space="preserve">DEPARTMENT OF ELECTRONICS &amp; COMMUNICATION ENGINEERING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-571498</wp:posOffset>
            </wp:positionH>
            <wp:positionV relativeFrom="paragraph">
              <wp:posOffset>0</wp:posOffset>
            </wp:positionV>
            <wp:extent cx="7761923" cy="1185723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4188"/>
                    <a:stretch>
                      <a:fillRect/>
                    </a:stretch>
                  </pic:blipFill>
                  <pic:spPr>
                    <a:xfrm>
                      <a:off x="0" y="0"/>
                      <a:ext cx="7761923" cy="1185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spacing w:before="161" w:lineRule="auto"/>
        <w:ind w:left="871" w:right="856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spacing w:before="7" w:lineRule="auto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i w:val="1"/>
          <w:iCs w:val="1"/>
          <w:color w:val="000000"/>
          <w:sz w:val="35"/>
          <w:szCs w:val="35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VIII Sem Major Project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ind w:left="278" w:firstLine="0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“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Title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spacing w:before="7" w:lineRule="auto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f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4243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Submitted by</w:t>
      </w:r>
    </w:p>
    <w:tbl>
      <w:tblPr>
        <w:tblStyle w:val="Table1"/>
        <w:tblW w:w="101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85"/>
        <w:gridCol w:w="5085"/>
        <w:tblGridChange w:id="0">
          <w:tblGrid>
            <w:gridCol w:w="5085"/>
            <w:gridCol w:w="5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   Students Name1</w:t>
            </w:r>
          </w:p>
          <w:p w:rsidR="00000000" w:rsidDel="00000000" w:rsidP="00000000" w:rsidRDefault="00000000" w:rsidRPr="00000000" w14:paraId="00000009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   USN1</w:t>
            </w:r>
          </w:p>
          <w:p w:rsidR="00000000" w:rsidDel="00000000" w:rsidP="00000000" w:rsidRDefault="00000000" w:rsidRPr="00000000" w14:paraId="0000000A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  Students Name3</w:t>
            </w:r>
          </w:p>
          <w:p w:rsidR="00000000" w:rsidDel="00000000" w:rsidP="00000000" w:rsidRDefault="00000000" w:rsidRPr="00000000" w14:paraId="0000000C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   USN3</w:t>
            </w:r>
          </w:p>
          <w:p w:rsidR="00000000" w:rsidDel="00000000" w:rsidP="00000000" w:rsidRDefault="00000000" w:rsidRPr="00000000" w14:paraId="0000000D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i w:val="1"/>
                <w:i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Students Name2 </w:t>
            </w:r>
          </w:p>
          <w:p w:rsidR="00000000" w:rsidDel="00000000" w:rsidP="00000000" w:rsidRDefault="00000000" w:rsidRPr="00000000" w14:paraId="00000010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USN2</w:t>
            </w:r>
          </w:p>
          <w:p w:rsidR="00000000" w:rsidDel="00000000" w:rsidP="00000000" w:rsidRDefault="00000000" w:rsidRPr="00000000" w14:paraId="00000011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Students Name4</w:t>
            </w:r>
          </w:p>
          <w:p w:rsidR="00000000" w:rsidDel="00000000" w:rsidP="00000000" w:rsidRDefault="00000000" w:rsidRPr="00000000" w14:paraId="00000013">
            <w:pPr>
              <w:jc w:val="left"/>
              <w:spacing w:before="161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USN4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4243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spacing w:before="16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61" w:lineRule="auto"/>
        <w:ind w:left="3787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Under the Guidance of</w:t>
      </w:r>
    </w:p>
    <w:p w:rsidR="00000000" w:rsidDel="00000000" w:rsidP="00000000" w:rsidRDefault="00000000" w:rsidRPr="00000000" w14:paraId="00000018">
      <w:pPr>
        <w:spacing w:before="8" w:lineRule="auto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68.0" w:type="dxa"/>
        <w:jc w:val="left"/>
        <w:tblInd w:w="971.0" w:type="dxa"/>
        <w:tblLayout w:type="fixed"/>
        <w:tblLook w:val="0400"/>
      </w:tblPr>
      <w:tblGrid>
        <w:gridCol w:w="4035"/>
        <w:gridCol w:w="4633"/>
        <w:tblGridChange w:id="0">
          <w:tblGrid>
            <w:gridCol w:w="4035"/>
            <w:gridCol w:w="4633"/>
          </w:tblGrid>
        </w:tblGridChange>
      </w:tblGrid>
      <w:tr>
        <w:trPr>
          <w:cantSplit w:val="0"/>
          <w:trHeight w:val="199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11" w:lineRule="auto"/>
              <w:ind w:right="90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8"/>
                <w:szCs w:val="28"/>
                <w:rtl w:val="0"/>
              </w:rPr>
              <w:t xml:space="preserve">Guide Name and Designation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  <w:widowControl w:val="1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center"/>
        <w:spacing w:before="183" w:lineRule="auto"/>
        <w:ind w:left="871" w:right="71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spacing w:before="183" w:lineRule="auto"/>
        <w:ind w:left="871" w:right="71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spacing w:before="183" w:lineRule="auto"/>
        <w:ind w:left="871" w:right="71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bookmarkStart w:colFirst="0" w:colLast="0" w:name="_y4zswwjv16ah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2025- 26</w:t>
      </w: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  <w:widowControl w:val="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Synopsis must include the following</w:t>
      </w:r>
    </w:p>
    <w:p w14:paraId="00000101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Introduction</w:t>
      </w:r>
    </w:p>
    <w:p w14:paraId="00000102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Fifth Generation New Radio (5G NR) networks are being deployed globally, promising ultra-high data rates and massive connectivity. However, a critical challenge is the rapid battery depletion of User Equipment (UE) caused by inefficient Radio Resource Control (RRC) state management. The 3GPP RRC state machine governs transitions between RRC_IDLE, RRC_INACTIVE, and RRC_CONNECTED states, yet current implementations rely on static inactivity timers that cannot adapt to diverse traffic patterns and UE mobility. This project proposes ARSTA (Adaptive RRC State Transition Algorithm), a novel algorithm that dynamically optimises RRC state decisions using EWMA-based traffic prediction, mobility-aware DRX tuning, and handover-aware state locking to achieve 25–35% energy savings without degrading Quality of Service.</w:t>
      </w:r>
    </w:p>
    <w:p w14:paraId="00000103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Literature Survey</w:t>
      </w:r>
    </w:p>
    <w:p w14:paraId="00000104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Ding et al. [1] (IEEE TMC, 2024) </w:t>
      </w:r>
      <w:r>
        <w:rPr>
          <w:rFonts w:ascii="Times New Roman" w:hAnsi="Times New Roman" w:cs="Times New Roman"/>
          <w:sz w:val="24"/>
          <w:szCs w:val="24"/>
        </w:rPr>
        <w:t xml:space="preserve">proposed 5GSaver, which exploits RRC_INACTIVE state to eliminate radio tail energy in 5G SA networks, achieving 9.5% energy and 12.4% latency reduction. Their work demonstrates that proactive INACTIVE state entry is highly effective for burst-silence traffic patterns, motivating ARSTA's EWMA-based approach.</w:t>
      </w:r>
    </w:p>
    <w:p w14:paraId="00000105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Khlass et al. [2] (IEEE VTC, 2019) </w:t>
      </w:r>
      <w:r>
        <w:rPr>
          <w:rFonts w:ascii="Times New Roman" w:hAnsi="Times New Roman" w:cs="Times New Roman"/>
          <w:sz w:val="24"/>
          <w:szCs w:val="24"/>
        </w:rPr>
        <w:t xml:space="preserve">evaluated flexible RRC configurations in ns-3, finding that optimal INACTIVE+DRX achieves over 200% latency reduction vs. IDLE and 40% power saving vs. CONNECTED under bursty traffic, establishing key benchmark values used in this project.</w:t>
      </w:r>
    </w:p>
    <w:p w14:paraId="00000106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Hoglund et al. [3] (IEEE Comms. Magazine, 2019) </w:t>
      </w:r>
      <w:r>
        <w:rPr>
          <w:rFonts w:ascii="Times New Roman" w:hAnsi="Times New Roman" w:cs="Times New Roman"/>
          <w:sz w:val="24"/>
          <w:szCs w:val="24"/>
        </w:rPr>
        <w:t xml:space="preserve">introduced the foundational design of the 5G RRC_INACTIVE state, demonstrating 8× connection setup latency improvement and the benefits of UE context preservation through RNA-based paging.</w:t>
      </w:r>
    </w:p>
    <w:p w14:paraId="00000107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Lin et al. [4] (IEEE COMST, 2023) </w:t>
      </w:r>
      <w:r>
        <w:rPr>
          <w:rFonts w:ascii="Times New Roman" w:hAnsi="Times New Roman" w:cs="Times New Roman"/>
          <w:sz w:val="24"/>
          <w:szCs w:val="24"/>
        </w:rPr>
        <w:t xml:space="preserve">provided the most comprehensive DRX survey covering LTE to 6G, identifying mobility-aware adaptive DRX tuning as an open research gap and confirming ML-based DRX achieves 15–35% better energy saving than static 3GPP configurations.</w:t>
      </w:r>
    </w:p>
    <w:p w14:paraId="00000108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Islam et al. [5] (IEEE JSAC, 2023) </w:t>
      </w:r>
      <w:r>
        <w:rPr>
          <w:rFonts w:ascii="Times New Roman" w:hAnsi="Times New Roman" w:cs="Times New Roman"/>
          <w:sz w:val="24"/>
          <w:szCs w:val="24"/>
        </w:rPr>
        <w:t xml:space="preserve">studied 5G-Advanced Rel-18 network energy saving techniques, showing 25–40% network energy reduction with AI-assisted gNB sleep and identifying UE-side algorithms as a complementary open problem.</w:t>
      </w:r>
    </w:p>
    <w:p w14:paraId="00000109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Raghunath et al. [6] (IEEE GLOBECOM, 2022) </w:t>
      </w:r>
      <w:r>
        <w:rPr>
          <w:rFonts w:ascii="Times New Roman" w:hAnsi="Times New Roman" w:cs="Times New Roman"/>
          <w:sz w:val="24"/>
          <w:szCs w:val="24"/>
        </w:rPr>
        <w:t xml:space="preserve">demonstrated mobility-aware RRM relaxation achieving 64–96% measurement energy saving by adapting DRX cycles to UE speed class, directly motivating ARSTA's velocity-based DRX tuning module.</w:t>
      </w:r>
    </w:p>
    <w:p w14:paraId="0000010A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Nokia Bell Labs [7] (IEEE WCNC, 2023) </w:t>
      </w:r>
      <w:r>
        <w:rPr>
          <w:rFonts w:ascii="Times New Roman" w:hAnsi="Times New Roman" w:cs="Times New Roman"/>
          <w:sz w:val="24"/>
          <w:szCs w:val="24"/>
        </w:rPr>
        <w:t xml:space="preserve">achieved 93% handover failure prediction accuracy using XGBoost on RSRP and velocity features, establishing that HO events are predictable with sufficient advance time to prevent unnecessary RRC state transitions — the basis for ARSTA's handover-aware state locking.</w:t>
      </w:r>
    </w:p>
    <w:p w14:paraId="0000010B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Ma et al. [8] (Elsevier DCN, 2024) </w:t>
      </w:r>
      <w:r>
        <w:rPr>
          <w:rFonts w:ascii="Times New Roman" w:hAnsi="Times New Roman" w:cs="Times New Roman"/>
          <w:sz w:val="24"/>
          <w:szCs w:val="24"/>
        </w:rPr>
        <w:t xml:space="preserve">proposed Predictive-PEI using LSTM-FNN for paging arrival prediction, achieving 38.89% paging energy saving while maintaining 99.2% success rate, representing the closest competitor to ARSTA's paging optimisation component.</w:t>
      </w:r>
    </w:p>
    <w:p w14:paraId="0000010C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Quek et al. [9] (IEEE Comms. Letters, 2021) </w:t>
      </w:r>
      <w:r>
        <w:rPr>
          <w:rFonts w:ascii="Times New Roman" w:hAnsi="Times New Roman" w:cs="Times New Roman"/>
          <w:sz w:val="24"/>
          <w:szCs w:val="24"/>
        </w:rPr>
        <w:t xml:space="preserve">analysed Small Data Transmission (SDT) in RRC_INACTIVE using configured-grant, demonstrating 73% power efficiency and 85% latency reduction for sub-500-byte payloads, informing ARSTA's fast-resume design for short bursts.</w:t>
      </w:r>
    </w:p>
    <w:p w14:paraId="0000010D">
      <w:pPr>
        <w:jc w:val="both"/>
        <w:spacing w:after="40" w:line="276" w:lineRule="auto"/>
      </w:pPr>
      <w:r>
        <w:rPr>
          <w:rFonts w:ascii="Times New Roman" w:hAnsi="Times New Roman" w:cs="Times New Roman"/>
          <w:sz w:val="24"/>
          <w:szCs w:val="24"/>
          <w:b w:val="1"/>
          <w:bCs w:val="1"/>
        </w:rPr>
        <w:t xml:space="preserve">Polese et al. [10] (IEEE WNS3, 2021) </w:t>
      </w:r>
      <w:r>
        <w:rPr>
          <w:rFonts w:ascii="Times New Roman" w:hAnsi="Times New Roman" w:cs="Times New Roman"/>
          <w:sz w:val="24"/>
          <w:szCs w:val="24"/>
        </w:rPr>
        <w:t xml:space="preserve">implemented the 3GPP TR 38.840 energy model in ns-3 for 5G NR UEs, validating within 8% error against commercial measurements, providing the simulation energy accounting infrastructure extended in this project.</w:t>
      </w:r>
    </w:p>
    <w:p w14:paraId="0000010E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Motivation</w:t>
      </w:r>
    </w:p>
    <w:p w14:paraId="0000010F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Despite advances in 5G NR standards, a comprehensive survey (García-Martínez et al., Sensors 2024) explicitly identifies combining traffic prediction with INACTIVE state exploitation as an open research gap. Current deployments waste significant energy through: (i) static inactivity timers that cause unnecessary CONNECTED-state occupancy for applications with bursty traffic; (ii) absence of mobility-aware DRX configuration, resulting in sub-optimal sleep cycles for high-speed UEs; (iii) no mechanism to prevent costly RRC re-establishment when state transitions coincide with handover windows; and (iv) paging energy wasted on monitoring channels when no pages are imminent. Smartphones consume up to 900 mW in RRC_CONNECTED vs. only 15 mW in RRC_INACTIVE (3GPP TR 38.840), making intelligent state management the most impactful lever for extending UE battery life in 5G networks.</w:t>
      </w:r>
    </w:p>
    <w:p w14:paraId="00000110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Problem Statement</w:t>
      </w:r>
    </w:p>
    <w:p w14:paraId="00000111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5G NR RRC state management employs fixed network-configured inactivity timers (typically 10–30 s) that are traffic-agnostic, velocity-agnostic, and unaware of upcoming handover events. This results in: excessive CONNECTED-state dwell for bursty applications, frequent and energy-wasteful IDLE↔CONNECTED transitions, suboptimal DRX cycle selection for mobile UEs, and RRC re-establishment failures when INACTIVE↔CONNECTED transitions coincide with handovers. No existing algorithm simultaneously optimises all four dimensions — traffic-adaptive timers, mobility-aware DRX, handover-aware state locking, and paging prediction — within a single unified framework.</w:t>
      </w:r>
    </w:p>
    <w:p w14:paraId="00000112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Objectives</w:t>
      </w:r>
    </w:p>
    <w:p w14:paraId="00000113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ARSTA: a unified RRC state optimisation algorithm combining EWMA traffic prediction, velocity-based DRX tuning, handover-aware state locking, and paging area adaptation.</w:t>
      </w:r>
    </w:p>
    <w:p w14:paraId="00000114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Achieve 25–35% reduction in total UE energy consumption compared to the 3GPP static-timer baseline.</w:t>
      </w:r>
    </w:p>
    <w:p w14:paraId="00000115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unnecessary RRC state transitions by 40–50% while maintaining handover success rate ≥ 98% and paging success rate ≥ 99%.</w:t>
      </w:r>
    </w:p>
    <w:p w14:paraId="00000116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and validate ARSTA in ns-3.44 with the 5G-LENA NR module, extending it with a custom RRC_INACTIVE state and the TR 38.840 energy model.</w:t>
      </w:r>
    </w:p>
    <w:p w14:paraId="00000117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Validate results statistically across 10 simulation seeds per configuration with 95% confidence intervals.</w:t>
      </w:r>
    </w:p>
    <w:p w14:paraId="00000118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Methodology</w:t>
      </w:r>
    </w:p>
    <w:p w14:paraId="00000119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ARSTA operates as a UE-side algorithm with four interlocking modules. The Traffic Prediction Module maintains an Exponentially Weighted Moving Average (EWMA) of inter-packet arrival times with adaptive smoothing factor α, estimating the probability of extended idle periods to trigger early INACTIVE entry before the inactivity timer expires. The Mobility-Aware DRX Module reads UE velocity from the mobility model and configures DRX cycle length inversely proportional to speed — stationary UEs use long cycles (160 ms) for maximum energy saving, while high-speed UEs use short cycles (20 ms) to remain responsive during frequent handovers. The Handover-Aware State Locking Module monitors RSRP gradients; when a rapid RSRP decline indicates an impending handover, it locks the UE in CONNECTED state for the predicted handover window duration to avoid INACTIVE→HO re-establishment overhead. The Paging Optimisation Module uses EWMA estimates of paging inter-arrival time to adaptively size the RNA area, reducing paging overhead for stationary UEs while maintaining reachability. The algorithm is validated in ns-3.44 with 3 gNBs arranged in a triangular topology, 20–50 UEs under RandomWaypoint mobility (0–30 m/s), 3.5 GHz FR1 channel at 40 MHz bandwidth, bursty Poisson traffic, and 300 s simulation runs per seed.</w:t>
      </w:r>
    </w:p>
    <w:p w14:paraId="0000011A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Hardware / Software Tools Used</w:t>
      </w:r>
    </w:p>
    <w:p w14:paraId="0000011B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ns-3.44 Network Simulator with 5G-LENA NR module (nr-v4.0) — primary simulation platform</w:t>
      </w:r>
    </w:p>
    <w:p w14:paraId="0000011C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3.11 with NumPy, Pandas, Matplotlib, SciPy — data processing, energy modelling, statistical analysis and publication-quality plotting</w:t>
      </w:r>
    </w:p>
    <w:p w14:paraId="0000011D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MATLAB R2023b — analytical Markov chain energy model and ns-3 result validation</w:t>
      </w:r>
    </w:p>
    <w:p w14:paraId="0000011E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Ubuntu 24.04 LTS — development and simulation environment (existing lab hardware)</w:t>
      </w:r>
    </w:p>
    <w:p w14:paraId="0000011F">
      <w:pPr>
        <w:numPr>
          <w:ilvl w:val="0"/>
          <w:numId w:val="3"/>
        </w:numPr>
        <w:jc w:val="both"/>
        <w:spacing w:after="4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3GPP TS 38.331, TR 38.840, TR 38.901 — normative protocol and energy model specifications</w:t>
      </w:r>
    </w:p>
    <w:p w14:paraId="00000120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Budget Estimate</w:t>
      </w:r>
    </w:p>
    <w:p w14:paraId="00000121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primary tools are open-source or covered by university licenses.  ns-3 / 5G-LENA Simulator — Open-source (free): ₹0.  Python / NumPy / Matplotlib — Open-source (free): ₹0.  MATLAB R2023b — University license (existing): ₹0.  Computation Hardware — Existing lab workstation: ₹0.  IEEE Xplore / Elsevier — University library access: ₹0.  Printing &amp; Binding — Synopsis + Final Report: ₹500.  Total estimated expenditure: ₹500 (printing and binding only).</w:t>
      </w:r>
    </w:p>
    <w:p w14:paraId="00000122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Project Timeline</w:t>
      </w:r>
    </w:p>
    <w:p w14:paraId="00000123">
      <w:pPr>
        <w:jc w:val="both"/>
        <w:spacing w:after="8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follows a 10-week schedule as shown in the Gantt chart below:</w:t>
      </w:r>
    </w:p>
    <w:tbl>
      <w:tblPr>
        <w:tblW w:w="936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6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rHeight w:val="300" w:hRule="atLeast"/>
        </w:trPr>
        <w:tc>
          <w:tcPr>
            <w:tcW w:w="2600" w:type="dxa"/>
          </w:tcPr>
          <w:p w14:paraId="0000012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 xml:space="preserve">Activity</w:t>
            </w:r>
          </w:p>
        </w:tc>
        <w:tc>
          <w:tcPr>
            <w:tcW w:w="840" w:type="dxa"/>
          </w:tcPr>
          <w:p w14:paraId="0000012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C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D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2E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2F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ns-3 Setup &amp; Baseline</w:t>
            </w:r>
          </w:p>
        </w:tc>
        <w:tc>
          <w:tcPr>
            <w:tcW w:w="840" w:type="dxa"/>
            <w:shd w:val="clear" w:color="auto" w:fill="D9D9D9"/>
          </w:tcPr>
          <w:p w14:paraId="00000130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  <w:shd w:val="clear" w:color="auto" w:fill="D9D9D9"/>
          </w:tcPr>
          <w:p w14:paraId="00000131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32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3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3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Energy Model Design</w:t>
            </w:r>
          </w:p>
        </w:tc>
        <w:tc>
          <w:tcPr>
            <w:tcW w:w="840" w:type="dxa"/>
          </w:tcPr>
          <w:p w14:paraId="0000013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C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3D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3E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3F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0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1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2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3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4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ARSTA Python Prototype</w:t>
            </w:r>
          </w:p>
        </w:tc>
        <w:tc>
          <w:tcPr>
            <w:tcW w:w="840" w:type="dxa"/>
          </w:tcPr>
          <w:p w14:paraId="0000014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4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4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C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D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E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4F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50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ns-3 C++ Integration</w:t>
            </w:r>
          </w:p>
        </w:tc>
        <w:tc>
          <w:tcPr>
            <w:tcW w:w="840" w:type="dxa"/>
          </w:tcPr>
          <w:p w14:paraId="00000151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2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3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5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  <w:shd w:val="clear" w:color="auto" w:fill="D9D9D9"/>
          </w:tcPr>
          <w:p w14:paraId="0000015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5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5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Experiments &amp; MATLAB</w:t>
            </w:r>
          </w:p>
        </w:tc>
        <w:tc>
          <w:tcPr>
            <w:tcW w:w="840" w:type="dxa"/>
          </w:tcPr>
          <w:p w14:paraId="0000015C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D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E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5F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0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1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62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  <w:shd w:val="clear" w:color="auto" w:fill="D9D9D9"/>
          </w:tcPr>
          <w:p w14:paraId="00000163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6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6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Paper Writing</w:t>
            </w:r>
          </w:p>
        </w:tc>
        <w:tc>
          <w:tcPr>
            <w:tcW w:w="840" w:type="dxa"/>
          </w:tcPr>
          <w:p w14:paraId="0000016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C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D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6E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6F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  <w:tc>
          <w:tcPr>
            <w:tcW w:w="840" w:type="dxa"/>
          </w:tcPr>
          <w:p w14:paraId="00000170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2600" w:type="dxa"/>
          </w:tcPr>
          <w:p w14:paraId="00000171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Review &amp; Submission</w:t>
            </w:r>
          </w:p>
        </w:tc>
        <w:tc>
          <w:tcPr>
            <w:tcW w:w="840" w:type="dxa"/>
          </w:tcPr>
          <w:p w14:paraId="00000172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3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4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5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6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7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8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9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</w:tcPr>
          <w:p w14:paraId="0000017A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840" w:type="dxa"/>
            <w:shd w:val="clear" w:color="auto" w:fill="D9D9D9"/>
          </w:tcPr>
          <w:p w14:paraId="0000017B">
            <w:pPr>
              <w:jc w:val="center"/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■</w:t>
            </w:r>
          </w:p>
        </w:tc>
      </w:tr>
    </w:tbl>
    <w:p w14:paraId="0000017C">
      <w:pPr>
        <w:numPr>
          <w:ilvl w:val="0"/>
          <w:numId w:val="2"/>
        </w:numPr>
        <w:spacing w:line="276" w:lineRule="auto"/>
        <w:ind w:left="720" w:hanging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References</w:t>
      </w:r>
    </w:p>
    <w:p w14:paraId="0000017D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Z. Ding et al., "Energy Optimization for Mobile Applications by Exploiting 5G Inactive State," IEEE Trans. Mobile Comput., vol. 23, no. 12, 2024. DOI: 10.1109/TMC.2024.3377696</w:t>
      </w:r>
    </w:p>
    <w:p w14:paraId="0000017E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[2] A. Khlass et al., "On the Flexible and Performance-Enhanced RRC for 5G NR Networks," Proc. IEEE VTC2019-Fall, pp. 1–6. DOI: 10.1109/VTCFall.2019.8891551</w:t>
      </w:r>
    </w:p>
    <w:p w14:paraId="0000017F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[3] A. Hoglund et al., "RRC State Handling for 5G," IEEE Commun. Mag., vol. 57, no. 1, pp. 44–49, 2019. DOI: 10.1109/MCOM.2018.1700957</w:t>
      </w:r>
    </w:p>
    <w:p w14:paraId="00000180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[4] K.-H. Lin et al., "A Survey on DRX Mechanism: Device Power Saving From LTE and 5G NR to 6G," IEEE Commun. Surveys Tuts., vol. 25, no. 1, pp. 156–183, 2023. DOI: 10.1109/COMST.2022.3217854</w:t>
      </w:r>
    </w:p>
    <w:p w14:paraId="00000181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 T. Islam et al., "Enabling Network Power Savings in 5G-Advanced and Beyond," IEEE J. Sel. Areas Commun., vol. 41, no. 7, pp. 1888–1899, 2023. DOI: 10.1109/JSAC.2023.3271241</w:t>
      </w:r>
    </w:p>
    <w:p w14:paraId="00000182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 P. Raghunath et al., "Energy Efficient RRM Relaxation for Reduced Capability UEs in 5G Networks," Proc. IEEE GLOBECOM 2022, pp. 1–6. DOI: 10.1109/GLOBECOM48099.2022.10000873</w:t>
      </w:r>
    </w:p>
    <w:p w14:paraId="00000183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[7] "ML-Based Handover Failure Prediction Model for HO Success Rate Improvement in 5G," Proc. IEEE WCNC 2023, pp. 1–6. DOI: 10.1109/WCNC55385.2023.10060203</w:t>
      </w:r>
    </w:p>
    <w:p w14:paraId="00000184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[8] W. Ma et al., "Research on Paging Enhancements for 5G-A Downlink Transmission Energy Saving," Digital Commun. Networks (Elsevier), vol. 11, no. 3, pp. 818–828, 2024. DOI: 10.1016/j.dcan.2024.07.005</w:t>
      </w:r>
    </w:p>
    <w:p w14:paraId="00000185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[9] T. Q. S. Quek et al., "Efficient Handling of Small Data Transmission for RRC Inactive UEs in 5G," IEEE Commun. Lett., vol. 25, no. 9, pp. 3041–3045, 2021. DOI: 10.1109/LCOMM.2021.3098069</w:t>
      </w:r>
    </w:p>
    <w:p w14:paraId="00000186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[10] M. Polese et al., "An ns3-based Energy Module of 5G NR UEs for Millimeter Wave Networks," Proc. IEEE WNS3, 2021. DOI: 10.1145/3460797.3460805</w:t>
      </w:r>
    </w:p>
    <w:p w14:paraId="00000187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[11] 3GPP TS 38.331 V18.3.0, "NR; Radio Resource Control (RRC); Protocol Specification," Rel. 18, 2024.</w:t>
      </w:r>
    </w:p>
    <w:p w14:paraId="00000188">
      <w:pPr>
        <w:jc w:val="both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[12] 3GPP TR 38.840 V16.0.0, "Study on UE Power Saving in NR," Rel. 16, Jun. 2019.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bookmarkStart w:colFirst="0" w:colLast="0" w:name="_2eu7u4zdetx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Instructions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  <w:widowControl w:val="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Synopsis should not be more than 4 pages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  <w:widowControl w:val="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follow the font type of Times New Roman with size 14 for the headings and size 12 for text.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  <w:widowControl w:val="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complete document should be justified (distribute the text evenly between the margins)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  <w:widowControl w:val="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document should be printed on both sides of a paper.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  <w:widowControl w:val="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copy paste the PPT slides directly here.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37.0" w:type="dxa"/>
        <w:jc w:val="left"/>
        <w:tblInd w:w="17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969"/>
        <w:tblGridChange w:id="0">
          <w:tblGrid>
            <w:gridCol w:w="2268"/>
            <w:gridCol w:w="3969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4">
            <w:pPr>
              <w:jc w:val="center"/>
              <w:spacing w:line="311" w:lineRule="auto"/>
              <w:ind w:right="90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Status: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  <w:widowControl w:val="1"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Accepted/Not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jc w:val="left"/>
              <w:spacing w:after="0" w:before="0" w:line="276" w:lineRule="auto"/>
              <w:ind w:left="0" w:right="0" w:firstLine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  <w:sz w:val="24"/>
                <w:szCs w:val="24"/>
              </w:rPr>
              <w:widowControl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right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  <w:widowControl w:val="1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  <w:widowControl w:val="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  <w:widowControl w:val="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8"/>
          <w:szCs w:val="28"/>
        </w:rPr>
        <w:widowControl w:val="1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</w:t>
      </w:r>
    </w:p>
    <w:tbl>
      <w:tblPr>
        <w:tblStyle w:val="Table4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85"/>
        <w:gridCol w:w="5085"/>
        <w:tblGridChange w:id="0">
          <w:tblGrid>
            <w:gridCol w:w="5085"/>
            <w:gridCol w:w="5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Guide Name:</w:t>
              <w:tab/>
              <w:tab/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Signature: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Panel Name:</w:t>
              <w:tab/>
              <w:tab/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  <w:widowControl w:val="1"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Signature: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b w:val="1"/>
          <w:bCs w:val="1"/>
          <w:sz w:val="28"/>
          <w:szCs w:val="28"/>
        </w:rPr>
        <w:widowControl w:val="1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28"/>
          <w:szCs w:val="28"/>
        </w:rPr>
        <w:widowControl w:val="1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  <w:widowControl w:val="1"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50" w:w="11920" w:orient="portrait"/>
      <w:pgMar w:bottom="1267" w:top="0" w:left="863" w:right="878" w:header="340" w:footer="57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ebuchet MS"/>
  <w:font w:name="Century School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  <w:sz w:val="18"/>
        <w:szCs w:val="18"/>
      </w:rPr>
    </w:pPr>
    <w:r w:rsidDel="00000000" w:rsidR="00000000" w:rsidRPr="00000000">
      <w:rPr>
        <w:sz w:val="18"/>
        <w:szCs w:val="18"/>
      </w:rPr>
      <w:pict>
        <v:shape id="WordPictureWatermark1" style="position:absolute;width:254.15pt;height:254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center"/>
      <w:rPr>
        <w:rFonts w:ascii="Trebuchet MS" w:cs="Trebuchet MS" w:eastAsia="Trebuchet MS" w:hAnsi="Trebuchet MS"/>
        <w:b w:val="1"/>
        <w:bCs w:val="1"/>
        <w:color w:val="000000"/>
        <w:sz w:val="32"/>
        <w:szCs w:val="32"/>
      </w:rPr>
    </w:pPr>
    <w:bookmarkStart w:colFirst="0" w:colLast="0" w:name="_nobplc9utmp" w:id="2"/>
    <w:bookmarkEnd w:id="2"/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24"/>
        <w:szCs w:val="24"/>
      </w:rPr>
      <w:pict>
        <v:shape id="WordPictureWatermark3" style="position:absolute;width:254.15pt;height:254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  <w:sz w:val="18"/>
        <w:szCs w:val="18"/>
      </w:rPr>
    </w:pPr>
    <w:r w:rsidDel="00000000" w:rsidR="00000000" w:rsidRPr="00000000">
      <w:rPr>
        <w:sz w:val="18"/>
        <w:szCs w:val="18"/>
      </w:rPr>
      <w:pict>
        <v:shape id="WordPictureWatermark2" style="position:absolute;width:254.15pt;height:254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9" w:lineRule="auto"/>
      <w:ind w:left="871" w:right="847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871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before="157" w:lineRule="auto"/>
      <w:ind w:left="871"/>
    </w:pPr>
    <w:rPr>
      <w:sz w:val="32"/>
      <w:szCs w:val="32"/>
    </w:rPr>
  </w:style>
  <w:style w:type="paragraph" w:styleId="Heading4">
    <w:name w:val="heading 4"/>
    <w:basedOn w:val="Normal"/>
    <w:next w:val="Normal"/>
    <w:pPr>
      <w:spacing w:before="1" w:lineRule="auto"/>
      <w:ind w:left="871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