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F4E79"/>
          <w:sz w:val="52"/>
        </w:rPr>
        <w:t>优秀硕士论文重建总方案</w:t>
      </w:r>
    </w:p>
    <w:p>
      <w:pPr>
        <w:spacing w:before="360"/>
        <w:jc w:val="center"/>
      </w:pPr>
      <w:r>
        <w:rPr>
          <w:rFonts w:ascii="Noto Serif CJK SC" w:hAnsi="Noto Serif CJK SC" w:eastAsia="Noto Serif CJK SC"/>
          <w:b/>
          <w:sz w:val="32"/>
        </w:rPr>
        <w:t>基于科学思维的物理竞赛试题分析及教学策略研究</w:t>
      </w:r>
    </w:p>
    <w:p>
      <w:pPr>
        <w:jc w:val="center"/>
      </w:pPr>
      <w:r>
        <w:rPr>
          <w:rFonts w:ascii="Noto Serif CJK SC" w:hAnsi="Noto Serif CJK SC" w:eastAsia="Noto Serif CJK SC"/>
          <w:sz w:val="26"/>
        </w:rPr>
        <w:t>——第35—42届全国中学生物理竞赛复赛研究项目 V2</w:t>
      </w:r>
    </w:p>
    <w:p>
      <w:pPr>
        <w:spacing w:before="960"/>
        <w:jc w:val="center"/>
      </w:pPr>
      <w:r>
        <w:rPr>
          <w:rFonts w:ascii="Noto Sans CJK SC" w:hAnsi="Noto Sans CJK SC" w:eastAsia="Noto Sans CJK SC"/>
          <w:b/>
          <w:color w:val="444444"/>
          <w:sz w:val="22"/>
        </w:rPr>
        <w:t>目标：以真实语料、可复核编码和证据驱动教学转化，争取优秀硕士论文</w:t>
      </w:r>
    </w:p>
    <w:p>
      <w:pPr>
        <w:spacing w:before="2200"/>
        <w:jc w:val="center"/>
      </w:pPr>
      <w:r>
        <w:rPr>
          <w:rFonts w:ascii="Noto Serif CJK SC" w:hAnsi="Noto Serif CJK SC" w:eastAsia="Noto Serif CJK SC"/>
          <w:sz w:val="22"/>
        </w:rPr>
        <w:t>项目重建版｜2026年7月</w:t>
      </w:r>
    </w:p>
    <w:p>
      <w:r>
        <w:br w:type="page"/>
      </w:r>
    </w:p>
    <w:p>
      <w:pPr>
        <w:pStyle w:val="Heading1"/>
        <w:keepNext/>
        <w:spacing w:before="240" w:after="120"/>
      </w:pPr>
      <w:r>
        <w:rPr>
          <w:rFonts w:ascii="Noto Sans CJK SC" w:hAnsi="Noto Sans CJK SC" w:eastAsia="Noto Sans CJK SC"/>
          <w:b/>
          <w:color w:val="1F4E79"/>
          <w:sz w:val="30"/>
        </w:rPr>
        <w:t>使用说明</w:t>
      </w:r>
    </w:p>
    <w:p>
      <w:pPr>
        <w:spacing w:line="360" w:lineRule="auto" w:after="100"/>
        <w:ind w:firstLine="420"/>
        <w:jc w:val="both"/>
      </w:pPr>
      <w:r>
        <w:rPr>
          <w:rFonts w:ascii="Noto Serif CJK SC" w:hAnsi="Noto Serif CJK SC" w:eastAsia="Noto Serif CJK SC"/>
          <w:sz w:val="21"/>
        </w:rPr>
        <w:t>这份方案不是一篇可以直接提交的论文，也不是对原初稿的简单扩写。它的作用是把现有研究主题升级为一项可经受导师、盲审和答辩追问的硕士研究。最终能否获得“优秀”评价，还取决于真实资料、研究实施、导师意见和学校评审标准；本方案的目标是尽可能提高论文的研究质量与完成度。</w:t>
      </w:r>
    </w:p>
    <w:p>
      <w:pPr>
        <w:spacing w:line="360" w:lineRule="auto" w:after="100"/>
        <w:ind w:firstLine="420"/>
        <w:jc w:val="both"/>
      </w:pPr>
      <w:r>
        <w:rPr>
          <w:rFonts w:ascii="Noto Serif CJK SC" w:hAnsi="Noto Serif CJK SC" w:eastAsia="Noto Serif CJK SC"/>
          <w:sz w:val="21"/>
        </w:rPr>
        <w:t>原始论文、问卷和PPT可以继续作为选题与结构参考，但其中的年份、比例、显著性、实验结果、专家验证和参考文献必须逐项核验。没有原始数据的结果不能进入新论文。</w:t>
      </w:r>
    </w:p>
    <w:p>
      <w:pPr>
        <w:pStyle w:val="Heading1"/>
        <w:keepNext/>
        <w:spacing w:before="240" w:after="120"/>
      </w:pPr>
      <w:r>
        <w:rPr>
          <w:rFonts w:ascii="Noto Sans CJK SC" w:hAnsi="Noto Sans CJK SC" w:eastAsia="Noto Sans CJK SC"/>
          <w:b/>
          <w:color w:val="1F4E79"/>
          <w:sz w:val="30"/>
        </w:rPr>
        <w:t>总目录</w:t>
      </w:r>
    </w:p>
    <w:p>
      <w:pPr>
        <w:pStyle w:val="ListBullet"/>
        <w:spacing w:after="60" w:line="324" w:lineRule="auto"/>
        <w:ind w:left="425" w:hanging="198"/>
      </w:pPr>
      <w:r>
        <w:rPr>
          <w:rFonts w:ascii="Noto Serif CJK SC" w:hAnsi="Noto Serif CJK SC" w:eastAsia="Noto Serif CJK SC"/>
          <w:sz w:val="21"/>
        </w:rPr>
        <w:t>一、项目总判断</w:t>
      </w:r>
    </w:p>
    <w:p>
      <w:pPr>
        <w:pStyle w:val="ListBullet"/>
        <w:spacing w:after="60" w:line="324" w:lineRule="auto"/>
        <w:ind w:left="425" w:hanging="198"/>
      </w:pPr>
      <w:r>
        <w:rPr>
          <w:rFonts w:ascii="Noto Serif CJK SC" w:hAnsi="Noto Serif CJK SC" w:eastAsia="Noto Serif CJK SC"/>
          <w:sz w:val="21"/>
        </w:rPr>
        <w:t>二、推荐题目与论文定位</w:t>
      </w:r>
    </w:p>
    <w:p>
      <w:pPr>
        <w:pStyle w:val="ListBullet"/>
        <w:spacing w:after="60" w:line="324" w:lineRule="auto"/>
        <w:ind w:left="425" w:hanging="198"/>
      </w:pPr>
      <w:r>
        <w:rPr>
          <w:rFonts w:ascii="Noto Serif CJK SC" w:hAnsi="Noto Serif CJK SC" w:eastAsia="Noto Serif CJK SC"/>
          <w:sz w:val="21"/>
        </w:rPr>
        <w:t>三、研究问题与总体设计</w:t>
      </w:r>
    </w:p>
    <w:p>
      <w:pPr>
        <w:pStyle w:val="ListBullet"/>
        <w:spacing w:after="60" w:line="324" w:lineRule="auto"/>
        <w:ind w:left="425" w:hanging="198"/>
      </w:pPr>
      <w:r>
        <w:rPr>
          <w:rFonts w:ascii="Noto Serif CJK SC" w:hAnsi="Noto Serif CJK SC" w:eastAsia="Noto Serif CJK SC"/>
          <w:sz w:val="21"/>
        </w:rPr>
        <w:t>四、分析框架的优秀论文级升级</w:t>
      </w:r>
    </w:p>
    <w:p>
      <w:pPr>
        <w:pStyle w:val="ListBullet"/>
        <w:spacing w:after="60" w:line="324" w:lineRule="auto"/>
        <w:ind w:left="425" w:hanging="198"/>
      </w:pPr>
      <w:r>
        <w:rPr>
          <w:rFonts w:ascii="Noto Serif CJK SC" w:hAnsi="Noto Serif CJK SC" w:eastAsia="Noto Serif CJK SC"/>
          <w:sz w:val="21"/>
        </w:rPr>
        <w:t>五、官方试题语料库与正式编码</w:t>
      </w:r>
    </w:p>
    <w:p>
      <w:pPr>
        <w:pStyle w:val="ListBullet"/>
        <w:spacing w:after="60" w:line="324" w:lineRule="auto"/>
        <w:ind w:left="425" w:hanging="198"/>
      </w:pPr>
      <w:r>
        <w:rPr>
          <w:rFonts w:ascii="Noto Serif CJK SC" w:hAnsi="Noto Serif CJK SC" w:eastAsia="Noto Serif CJK SC"/>
          <w:sz w:val="21"/>
        </w:rPr>
        <w:t>六、教师证据与课堂验证</w:t>
      </w:r>
    </w:p>
    <w:p>
      <w:pPr>
        <w:pStyle w:val="ListBullet"/>
        <w:spacing w:after="60" w:line="324" w:lineRule="auto"/>
        <w:ind w:left="425" w:hanging="198"/>
      </w:pPr>
      <w:r>
        <w:rPr>
          <w:rFonts w:ascii="Noto Serif CJK SC" w:hAnsi="Noto Serif CJK SC" w:eastAsia="Noto Serif CJK SC"/>
          <w:sz w:val="21"/>
        </w:rPr>
        <w:t>七、章节结构与写作顺序</w:t>
      </w:r>
    </w:p>
    <w:p>
      <w:pPr>
        <w:pStyle w:val="ListBullet"/>
        <w:spacing w:after="60" w:line="324" w:lineRule="auto"/>
        <w:ind w:left="425" w:hanging="198"/>
      </w:pPr>
      <w:r>
        <w:rPr>
          <w:rFonts w:ascii="Noto Serif CJK SC" w:hAnsi="Noto Serif CJK SC" w:eastAsia="Noto Serif CJK SC"/>
          <w:sz w:val="21"/>
        </w:rPr>
        <w:t>八、可成立的创新点</w:t>
      </w:r>
    </w:p>
    <w:p>
      <w:pPr>
        <w:pStyle w:val="ListBullet"/>
        <w:spacing w:after="60" w:line="324" w:lineRule="auto"/>
        <w:ind w:left="425" w:hanging="198"/>
      </w:pPr>
      <w:r>
        <w:rPr>
          <w:rFonts w:ascii="Noto Serif CJK SC" w:hAnsi="Noto Serif CJK SC" w:eastAsia="Noto Serif CJK SC"/>
          <w:sz w:val="21"/>
        </w:rPr>
        <w:t>九、优秀论文质量关卡</w:t>
      </w:r>
    </w:p>
    <w:p>
      <w:pPr>
        <w:pStyle w:val="ListBullet"/>
        <w:spacing w:after="60" w:line="324" w:lineRule="auto"/>
        <w:ind w:left="425" w:hanging="198"/>
      </w:pPr>
      <w:r>
        <w:rPr>
          <w:rFonts w:ascii="Noto Serif CJK SC" w:hAnsi="Noto Serif CJK SC" w:eastAsia="Noto Serif CJK SC"/>
          <w:sz w:val="21"/>
        </w:rPr>
        <w:t>十、时间计划与Codex工作流</w:t>
      </w:r>
    </w:p>
    <w:p>
      <w:pPr>
        <w:pStyle w:val="ListBullet"/>
        <w:spacing w:after="60" w:line="324" w:lineRule="auto"/>
        <w:ind w:left="425" w:hanging="198"/>
      </w:pPr>
      <w:r>
        <w:rPr>
          <w:rFonts w:ascii="Noto Serif CJK SC" w:hAnsi="Noto Serif CJK SC" w:eastAsia="Noto Serif CJK SC"/>
          <w:sz w:val="21"/>
        </w:rPr>
        <w:t>十一、立即执行清单</w:t>
      </w:r>
    </w:p>
    <w:p>
      <w:r>
        <w:br w:type="page"/>
      </w:r>
    </w:p>
    <w:p>
      <w:pPr>
        <w:pStyle w:val="Heading1"/>
        <w:keepNext/>
        <w:spacing w:before="240" w:after="120"/>
      </w:pPr>
      <w:r>
        <w:rPr>
          <w:rFonts w:ascii="Noto Sans CJK SC" w:hAnsi="Noto Sans CJK SC" w:eastAsia="Noto Sans CJK SC"/>
          <w:b/>
          <w:color w:val="1F4E79"/>
          <w:sz w:val="30"/>
        </w:rPr>
        <w:t>一、项目总判断</w:t>
      </w:r>
    </w:p>
    <w:p>
      <w:pPr>
        <w:pStyle w:val="Heading2"/>
        <w:keepNext/>
        <w:spacing w:before="160" w:after="120"/>
      </w:pPr>
      <w:r>
        <w:rPr>
          <w:rFonts w:ascii="Noto Sans CJK SC" w:hAnsi="Noto Sans CJK SC" w:eastAsia="Noto Sans CJK SC"/>
          <w:b/>
          <w:color w:val="323232"/>
          <w:sz w:val="24"/>
        </w:rPr>
        <w:t>1.1 原初稿的价值</w:t>
      </w:r>
    </w:p>
    <w:p>
      <w:pPr>
        <w:spacing w:line="360" w:lineRule="auto" w:after="100"/>
        <w:ind w:firstLine="420"/>
        <w:jc w:val="both"/>
      </w:pPr>
      <w:r>
        <w:rPr>
          <w:rFonts w:ascii="Noto Serif CJK SC" w:hAnsi="Noto Serif CJK SC" w:eastAsia="Noto Serif CJK SC"/>
          <w:sz w:val="21"/>
        </w:rPr>
        <w:t>现有三份材料已经确定了一个具有现实价值的方向：从科学思维视角分析全国中学生物理竞赛复赛试题，并把试题要求转化为教学策略。原初稿还提出模型建构、科学推理、科学论证与质疑创新四个维度，这些内容可以保留为研究起点。</w:t>
      </w:r>
    </w:p>
    <w:p>
      <w:pPr>
        <w:pStyle w:val="Heading2"/>
        <w:keepNext/>
        <w:spacing w:before="160" w:after="120"/>
      </w:pPr>
      <w:r>
        <w:rPr>
          <w:rFonts w:ascii="Noto Sans CJK SC" w:hAnsi="Noto Sans CJK SC" w:eastAsia="Noto Sans CJK SC"/>
          <w:b/>
          <w:color w:val="323232"/>
          <w:sz w:val="24"/>
        </w:rPr>
        <w:t>1.2 为什么不能直接“润色成优秀论文”</w:t>
      </w:r>
    </w:p>
    <w:p>
      <w:pPr>
        <w:pStyle w:val="ListBullet"/>
        <w:spacing w:after="60" w:line="324" w:lineRule="auto"/>
        <w:ind w:left="425" w:hanging="198"/>
      </w:pPr>
      <w:r>
        <w:rPr>
          <w:rFonts w:ascii="Noto Serif CJK SC" w:hAnsi="Noto Serif CJK SC" w:eastAsia="Noto Serif CJK SC"/>
          <w:sz w:val="21"/>
        </w:rPr>
        <w:t>初稿已经写出多个比例、趋势和显著性结果，但目前看不到相应的逐题编码、问卷原始数据、前后测数据和统计输出。</w:t>
      </w:r>
    </w:p>
    <w:p>
      <w:pPr>
        <w:pStyle w:val="ListBullet"/>
        <w:spacing w:after="60" w:line="324" w:lineRule="auto"/>
        <w:ind w:left="425" w:hanging="198"/>
      </w:pPr>
      <w:r>
        <w:rPr>
          <w:rFonts w:ascii="Noto Serif CJK SC" w:hAnsi="Noto Serif CJK SC" w:eastAsia="Noto Serif CJK SC"/>
          <w:sz w:val="21"/>
        </w:rPr>
        <w:t>初稿把第35—42届对应到2020—2027，其中出现未来年份，说明届次与年份必须重新核验。</w:t>
      </w:r>
    </w:p>
    <w:p>
      <w:pPr>
        <w:pStyle w:val="ListBullet"/>
        <w:spacing w:after="60" w:line="324" w:lineRule="auto"/>
        <w:ind w:left="425" w:hanging="198"/>
      </w:pPr>
      <w:r>
        <w:rPr>
          <w:rFonts w:ascii="Noto Serif CJK SC" w:hAnsi="Noto Serif CJK SC" w:eastAsia="Noto Serif CJK SC"/>
          <w:sz w:val="21"/>
        </w:rPr>
        <w:t>英文摘要把“复赛”写成 preliminary round，与中文研究对象不一致，需要依据官方表达重新翻译。</w:t>
      </w:r>
    </w:p>
    <w:p>
      <w:pPr>
        <w:pStyle w:val="ListBullet"/>
        <w:spacing w:after="60" w:line="324" w:lineRule="auto"/>
        <w:ind w:left="425" w:hanging="198"/>
      </w:pPr>
      <w:r>
        <w:rPr>
          <w:rFonts w:ascii="Noto Serif CJK SC" w:hAnsi="Noto Serif CJK SC" w:eastAsia="Noto Serif CJK SC"/>
          <w:sz w:val="21"/>
        </w:rPr>
        <w:t>SOLO理论原本用于描述学习成果的结构复杂性，直接给试题贴SOLO层次标签需要更严谨的理论适配。</w:t>
      </w:r>
    </w:p>
    <w:p>
      <w:pPr>
        <w:pStyle w:val="ListBullet"/>
        <w:spacing w:after="60" w:line="324" w:lineRule="auto"/>
        <w:ind w:left="425" w:hanging="198"/>
      </w:pPr>
      <w:r>
        <w:rPr>
          <w:rFonts w:ascii="Noto Serif CJK SC" w:hAnsi="Noto Serif CJK SC" w:eastAsia="Noto Serif CJK SC"/>
          <w:sz w:val="21"/>
        </w:rPr>
        <w:t>问卷题目与选项存在截断，且缺少量表结构、基本信息、知情说明、预测试和分析方案。</w:t>
      </w:r>
    </w:p>
    <w:p>
      <w:pPr>
        <w:pStyle w:val="ListBullet"/>
        <w:spacing w:after="60" w:line="324" w:lineRule="auto"/>
        <w:ind w:left="425" w:hanging="198"/>
      </w:pPr>
      <w:r>
        <w:rPr>
          <w:rFonts w:ascii="Noto Serif CJK SC" w:hAnsi="Noto Serif CJK SC" w:eastAsia="Noto Serif CJK SC"/>
          <w:sz w:val="21"/>
        </w:rPr>
        <w:t>第五章的实验对象、分组、前后测和显著性结果如果没有真实实施材料，必须删除或改写为教学设计方案。</w:t>
      </w:r>
    </w:p>
    <w:p>
      <w:pPr>
        <w:pStyle w:val="Heading2"/>
        <w:keepNext/>
        <w:spacing w:before="160" w:after="120"/>
      </w:pPr>
      <w:r>
        <w:rPr>
          <w:rFonts w:ascii="Noto Sans CJK SC" w:hAnsi="Noto Sans CJK SC" w:eastAsia="Noto Sans CJK SC"/>
          <w:b/>
          <w:color w:val="323232"/>
          <w:sz w:val="24"/>
        </w:rPr>
        <w:t>1.3 优秀版的核心转变</w:t>
      </w:r>
    </w:p>
    <w:tbl>
      <w:tblPr>
        <w:tblStyle w:val="TableGrid"/>
        <w:tblW w:type="auto" w:w="0"/>
        <w:jc w:val="center"/>
        <w:tblLook w:firstColumn="1" w:firstRow="1" w:lastColumn="0" w:lastRow="0" w:noHBand="0" w:noVBand="1" w:val="04A0"/>
      </w:tblPr>
      <w:tblGrid>
        <w:gridCol w:w="4702"/>
        <w:gridCol w:w="4702"/>
      </w:tblGrid>
      <w:tr>
        <w:tc>
          <w:tcPr>
            <w:tcW w:type="dxa" w:w="3175"/>
            <w:shd w:fill="D9EAF7"/>
            <w:vAlign w:val="center"/>
            <w:tcMar>
              <w:top w:w="100" w:type="dxa"/>
              <w:start w:w="120" w:type="dxa"/>
              <w:bottom w:w="100" w:type="dxa"/>
              <w:end w:w="120" w:type="dxa"/>
            </w:tcMar>
          </w:tcPr>
          <w:p>
            <w:pPr>
              <w:jc w:val="center"/>
            </w:pPr>
            <w:r>
              <w:rPr>
                <w:rFonts w:ascii="Noto Sans CJK SC" w:hAnsi="Noto Sans CJK SC" w:eastAsia="Noto Sans CJK SC"/>
                <w:b/>
                <w:sz w:val="18"/>
              </w:rPr>
              <w:t>原初稿做法</w:t>
            </w:r>
          </w:p>
        </w:tc>
        <w:tc>
          <w:tcPr>
            <w:tcW w:type="dxa" w:w="5669"/>
            <w:shd w:fill="D9EAF7"/>
            <w:vAlign w:val="center"/>
            <w:tcMar>
              <w:top w:w="100" w:type="dxa"/>
              <w:start w:w="120" w:type="dxa"/>
              <w:bottom w:w="100" w:type="dxa"/>
              <w:end w:w="120" w:type="dxa"/>
            </w:tcMar>
          </w:tcPr>
          <w:p>
            <w:pPr>
              <w:jc w:val="center"/>
            </w:pPr>
            <w:r>
              <w:rPr>
                <w:rFonts w:ascii="Noto Sans CJK SC" w:hAnsi="Noto Sans CJK SC" w:eastAsia="Noto Sans CJK SC"/>
                <w:b/>
                <w:sz w:val="18"/>
              </w:rPr>
              <w:t>优秀版做法</w:t>
            </w:r>
          </w:p>
        </w:tc>
      </w:tr>
      <w:tr>
        <w:tc>
          <w:tcPr>
            <w:tcW w:type="dxa" w:w="3175"/>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先写完整六章</w:t>
            </w:r>
          </w:p>
        </w:tc>
        <w:tc>
          <w:tcPr>
            <w:tcW w:type="dxa" w:w="5669"/>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先完成研究问题、语料、编码和质量控制</w:t>
            </w:r>
          </w:p>
        </w:tc>
      </w:tr>
      <w:tr>
        <w:tc>
          <w:tcPr>
            <w:tcW w:type="dxa" w:w="3175"/>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给整题一个模糊思维等级</w:t>
            </w:r>
          </w:p>
        </w:tc>
        <w:tc>
          <w:tcPr>
            <w:tcW w:type="dxa" w:w="5669"/>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小问级、维度存在性与结构深度分开编码</w:t>
            </w:r>
          </w:p>
        </w:tc>
      </w:tr>
      <w:tr>
        <w:tc>
          <w:tcPr>
            <w:tcW w:type="dxa" w:w="3175"/>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专家验证一句带过</w:t>
            </w:r>
          </w:p>
        </w:tc>
        <w:tc>
          <w:tcPr>
            <w:tcW w:type="dxa" w:w="5669"/>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保留专家背景、评分、意见和修订日志</w:t>
            </w:r>
          </w:p>
        </w:tc>
      </w:tr>
      <w:tr>
        <w:tc>
          <w:tcPr>
            <w:tcW w:type="dxa" w:w="3175"/>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用百分比描述趋势</w:t>
            </w:r>
          </w:p>
        </w:tc>
        <w:tc>
          <w:tcPr>
            <w:tcW w:type="dxa" w:w="5669"/>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从裁决后编码数据和脚本生成结果</w:t>
            </w:r>
          </w:p>
        </w:tc>
      </w:tr>
      <w:tr>
        <w:tc>
          <w:tcPr>
            <w:tcW w:type="dxa" w:w="3175"/>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泛化教学建议</w:t>
            </w:r>
          </w:p>
        </w:tc>
        <w:tc>
          <w:tcPr>
            <w:tcW w:type="dxa" w:w="5669"/>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结果—问题—策略—任务—学生产出—评价量规</w:t>
            </w:r>
          </w:p>
        </w:tc>
      </w:tr>
      <w:tr>
        <w:tc>
          <w:tcPr>
            <w:tcW w:type="dxa" w:w="3175"/>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一次性实验显著有效</w:t>
            </w:r>
          </w:p>
        </w:tc>
        <w:tc>
          <w:tcPr>
            <w:tcW w:type="dxa" w:w="5669"/>
            <w:vAlign w:val="top"/>
            <w:tcMar>
              <w:top w:w="100" w:type="dxa"/>
              <w:start w:w="120" w:type="dxa"/>
              <w:bottom w:w="100" w:type="dxa"/>
              <w:end w:w="120" w:type="dxa"/>
            </w:tcMar>
          </w:tcPr>
          <w:p>
            <w:pPr>
              <w:spacing w:line="276" w:lineRule="auto" w:after="0"/>
            </w:pPr>
            <w:r>
              <w:rPr>
                <w:rFonts w:ascii="Noto Serif CJK SC" w:hAnsi="Noto Serif CJK SC" w:eastAsia="Noto Serif CJK SC"/>
                <w:sz w:val="18"/>
              </w:rPr>
              <w:t>真实条件不足时采用教师验证或两轮设计型研究</w:t>
            </w:r>
          </w:p>
        </w:tc>
      </w:tr>
    </w:tbl>
    <w:p>
      <w:pPr>
        <w:spacing w:after="0"/>
      </w:pPr>
    </w:p>
    <w:p>
      <w:pPr>
        <w:pStyle w:val="Heading1"/>
        <w:keepNext/>
        <w:spacing w:before="240" w:after="120"/>
      </w:pPr>
      <w:r>
        <w:rPr>
          <w:rFonts w:ascii="Noto Sans CJK SC" w:hAnsi="Noto Sans CJK SC" w:eastAsia="Noto Sans CJK SC"/>
          <w:b/>
          <w:color w:val="1F4E79"/>
          <w:sz w:val="30"/>
        </w:rPr>
        <w:t>二、推荐题目与论文定位</w:t>
      </w:r>
    </w:p>
    <w:p>
      <w:pPr>
        <w:pStyle w:val="Heading2"/>
        <w:keepNext/>
        <w:spacing w:before="160" w:after="120"/>
      </w:pPr>
      <w:r>
        <w:rPr>
          <w:rFonts w:ascii="Noto Sans CJK SC" w:hAnsi="Noto Sans CJK SC" w:eastAsia="Noto Sans CJK SC"/>
          <w:b/>
          <w:color w:val="323232"/>
          <w:sz w:val="24"/>
        </w:rPr>
        <w:t>2.1 推荐题目A：稳健型</w:t>
      </w:r>
    </w:p>
    <w:p>
      <w:pPr>
        <w:spacing w:line="360" w:lineRule="auto" w:after="100"/>
        <w:ind w:firstLine="420"/>
        <w:jc w:val="both"/>
      </w:pPr>
      <w:r>
        <w:rPr>
          <w:rFonts w:ascii="Noto Serif CJK SC" w:hAnsi="Noto Serif CJK SC" w:eastAsia="Noto Serif CJK SC"/>
          <w:sz w:val="21"/>
        </w:rPr>
        <w:t>科学思维视域下全国中学生物理竞赛复赛试题的认知要求及教学转化研究——基于第35—42届试题的内容分析</w:t>
      </w:r>
    </w:p>
    <w:p>
      <w:pPr>
        <w:spacing w:line="360" w:lineRule="auto" w:after="100"/>
        <w:ind w:firstLine="420"/>
        <w:jc w:val="both"/>
      </w:pPr>
      <w:r>
        <w:rPr>
          <w:rFonts w:ascii="Noto Serif CJK SC" w:hAnsi="Noto Serif CJK SC" w:eastAsia="Noto Serif CJK SC"/>
          <w:sz w:val="21"/>
        </w:rPr>
        <w:t>该题目清楚说明研究对象、研究视角、主要方法和实践指向，不会在没有严格实验时过度承诺“策略有效性”。这是当前最推荐的优秀论文路线。</w:t>
      </w:r>
    </w:p>
    <w:p>
      <w:pPr>
        <w:pStyle w:val="Heading2"/>
        <w:keepNext/>
        <w:spacing w:before="160" w:after="120"/>
      </w:pPr>
      <w:r>
        <w:rPr>
          <w:rFonts w:ascii="Noto Sans CJK SC" w:hAnsi="Noto Sans CJK SC" w:eastAsia="Noto Sans CJK SC"/>
          <w:b/>
          <w:color w:val="323232"/>
          <w:sz w:val="24"/>
        </w:rPr>
        <w:t>2.2 推荐题目B：进阶型</w:t>
      </w:r>
    </w:p>
    <w:p>
      <w:pPr>
        <w:spacing w:line="360" w:lineRule="auto" w:after="100"/>
        <w:ind w:firstLine="420"/>
        <w:jc w:val="both"/>
      </w:pPr>
      <w:r>
        <w:rPr>
          <w:rFonts w:ascii="Noto Serif CJK SC" w:hAnsi="Noto Serif CJK SC" w:eastAsia="Noto Serif CJK SC"/>
          <w:sz w:val="21"/>
        </w:rPr>
        <w:t>科学思维视域下全国中学生物理竞赛复赛试题分析与教学策略的设计型研究——以第35—42届试题为样本</w:t>
      </w:r>
    </w:p>
    <w:p>
      <w:pPr>
        <w:spacing w:line="360" w:lineRule="auto" w:after="100"/>
        <w:ind w:firstLine="420"/>
        <w:jc w:val="both"/>
      </w:pPr>
      <w:r>
        <w:rPr>
          <w:rFonts w:ascii="Noto Serif CJK SC" w:hAnsi="Noto Serif CJK SC" w:eastAsia="Noto Serif CJK SC"/>
          <w:sz w:val="21"/>
        </w:rPr>
        <w:t>只有在能够进入真实竞赛课堂，完成至少两轮“设计—实施—分析—修订”并保存学生作品和课堂证据时，才建议采用。</w:t>
      </w:r>
    </w:p>
    <w:p>
      <w:pPr>
        <w:pStyle w:val="Heading2"/>
        <w:keepNext/>
        <w:spacing w:before="160" w:after="120"/>
      </w:pPr>
      <w:r>
        <w:rPr>
          <w:rFonts w:ascii="Noto Sans CJK SC" w:hAnsi="Noto Sans CJK SC" w:eastAsia="Noto Sans CJK SC"/>
          <w:b/>
          <w:color w:val="323232"/>
          <w:sz w:val="24"/>
        </w:rPr>
        <w:t>2.3 论文的一句话定位</w:t>
      </w:r>
    </w:p>
    <w:p>
      <w:pPr>
        <w:spacing w:line="360" w:lineRule="auto" w:after="100"/>
        <w:ind w:firstLine="420"/>
        <w:jc w:val="both"/>
      </w:pPr>
      <w:r>
        <w:rPr>
          <w:rFonts w:ascii="Noto Serif CJK SC" w:hAnsi="Noto Serif CJK SC" w:eastAsia="Noto Serif CJK SC"/>
          <w:sz w:val="21"/>
        </w:rPr>
        <w:t>通过建立可复核的科学思维试题分析框架，揭示八届复赛试题的认知要求及典型机制，再把结果转化为可实施、可观察、可评价的竞赛教学设计。</w:t>
      </w:r>
    </w:p>
    <w:p>
      <w:pPr>
        <w:pStyle w:val="Heading2"/>
        <w:keepNext/>
        <w:spacing w:before="160" w:after="120"/>
      </w:pPr>
      <w:r>
        <w:rPr>
          <w:rFonts w:ascii="Noto Sans CJK SC" w:hAnsi="Noto Sans CJK SC" w:eastAsia="Noto Sans CJK SC"/>
          <w:b/>
          <w:color w:val="323232"/>
          <w:sz w:val="24"/>
        </w:rPr>
        <w:t>2.4 研究边界</w:t>
      </w:r>
    </w:p>
    <w:p>
      <w:pPr>
        <w:pStyle w:val="ListBullet"/>
        <w:spacing w:after="60" w:line="324" w:lineRule="auto"/>
        <w:ind w:left="425" w:hanging="198"/>
      </w:pPr>
      <w:r>
        <w:rPr>
          <w:rFonts w:ascii="Noto Serif CJK SC" w:hAnsi="Noto Serif CJK SC" w:eastAsia="Noto Serif CJK SC"/>
          <w:sz w:val="21"/>
        </w:rPr>
        <w:t>分析的是试题要求，不等同于测量学生真实思维水平。</w:t>
      </w:r>
    </w:p>
    <w:p>
      <w:pPr>
        <w:pStyle w:val="ListBullet"/>
        <w:spacing w:after="60" w:line="324" w:lineRule="auto"/>
        <w:ind w:left="425" w:hanging="198"/>
      </w:pPr>
      <w:r>
        <w:rPr>
          <w:rFonts w:ascii="Noto Serif CJK SC" w:hAnsi="Noto Serif CJK SC" w:eastAsia="Noto Serif CJK SC"/>
          <w:sz w:val="21"/>
        </w:rPr>
        <w:t>八届试题可以呈现样本内变化，不宜夸大为长期稳定规律。</w:t>
      </w:r>
    </w:p>
    <w:p>
      <w:pPr>
        <w:pStyle w:val="ListBullet"/>
        <w:spacing w:after="60" w:line="324" w:lineRule="auto"/>
        <w:ind w:left="425" w:hanging="198"/>
      </w:pPr>
      <w:r>
        <w:rPr>
          <w:rFonts w:ascii="Noto Serif CJK SC" w:hAnsi="Noto Serif CJK SC" w:eastAsia="Noto Serif CJK SC"/>
          <w:sz w:val="21"/>
        </w:rPr>
        <w:t>教师意见用于解释教学现实，不等同于客观命题事实。</w:t>
      </w:r>
    </w:p>
    <w:p>
      <w:pPr>
        <w:pStyle w:val="ListBullet"/>
        <w:spacing w:after="60" w:line="324" w:lineRule="auto"/>
        <w:ind w:left="425" w:hanging="198"/>
      </w:pPr>
      <w:r>
        <w:rPr>
          <w:rFonts w:ascii="Noto Serif CJK SC" w:hAnsi="Noto Serif CJK SC" w:eastAsia="Noto Serif CJK SC"/>
          <w:sz w:val="21"/>
        </w:rPr>
        <w:t>短期课堂表现不等同于长期创新能力。</w:t>
      </w:r>
    </w:p>
    <w:p>
      <w:pPr>
        <w:pStyle w:val="ListBullet"/>
        <w:spacing w:after="60" w:line="324" w:lineRule="auto"/>
        <w:ind w:left="425" w:hanging="198"/>
      </w:pPr>
      <w:r>
        <w:rPr>
          <w:rFonts w:ascii="Noto Serif CJK SC" w:hAnsi="Noto Serif CJK SC" w:eastAsia="Noto Serif CJK SC"/>
          <w:sz w:val="21"/>
        </w:rPr>
        <w:t>题目难、计算多、背景新颖，均不能自动判定为高阶科学思维。</w:t>
      </w:r>
    </w:p>
    <w:p>
      <w:pPr>
        <w:pStyle w:val="Heading1"/>
        <w:keepNext/>
        <w:spacing w:before="240" w:after="120"/>
      </w:pPr>
      <w:r>
        <w:rPr>
          <w:rFonts w:ascii="Noto Sans CJK SC" w:hAnsi="Noto Sans CJK SC" w:eastAsia="Noto Sans CJK SC"/>
          <w:b/>
          <w:color w:val="1F4E79"/>
          <w:sz w:val="30"/>
        </w:rPr>
        <w:t>三、研究问题与总体设计</w:t>
      </w:r>
    </w:p>
    <w:p>
      <w:pPr>
        <w:pStyle w:val="Heading2"/>
        <w:keepNext/>
        <w:spacing w:before="160" w:after="120"/>
      </w:pPr>
      <w:r>
        <w:rPr>
          <w:rFonts w:ascii="Noto Sans CJK SC" w:hAnsi="Noto Sans CJK SC" w:eastAsia="Noto Sans CJK SC"/>
          <w:b/>
          <w:color w:val="323232"/>
          <w:sz w:val="24"/>
        </w:rPr>
        <w:t>3.1 必做研究问题</w:t>
      </w:r>
    </w:p>
    <w:p>
      <w:pPr>
        <w:spacing w:after="60" w:line="324" w:lineRule="auto"/>
        <w:ind w:left="454" w:hanging="227"/>
      </w:pPr>
      <w:r>
        <w:rPr>
          <w:rFonts w:ascii="Noto Serif CJK SC" w:hAnsi="Noto Serif CJK SC" w:eastAsia="Noto Serif CJK SC"/>
          <w:sz w:val="21"/>
        </w:rPr>
        <w:t xml:space="preserve">1. </w:t>
      </w:r>
      <w:r>
        <w:rPr>
          <w:rFonts w:ascii="Noto Serif CJK SC" w:hAnsi="Noto Serif CJK SC" w:eastAsia="Noto Serif CJK SC"/>
          <w:sz w:val="21"/>
        </w:rPr>
        <w:t>RQ1：如何构建适用于复赛试题的科学思维认知要求分析框架？其内容效度和评分者一致性如何？</w:t>
      </w:r>
    </w:p>
    <w:p>
      <w:pPr>
        <w:spacing w:after="60" w:line="324" w:lineRule="auto"/>
        <w:ind w:left="454" w:hanging="227"/>
      </w:pPr>
      <w:r>
        <w:rPr>
          <w:rFonts w:ascii="Noto Serif CJK SC" w:hAnsi="Noto Serif CJK SC" w:eastAsia="Noto Serif CJK SC"/>
          <w:sz w:val="21"/>
        </w:rPr>
        <w:t xml:space="preserve">2. </w:t>
      </w:r>
      <w:r>
        <w:rPr>
          <w:rFonts w:ascii="Noto Serif CJK SC" w:hAnsi="Noto Serif CJK SC" w:eastAsia="Noto Serif CJK SC"/>
          <w:sz w:val="21"/>
        </w:rPr>
        <w:t>RQ2：第35—42届复赛试题中，模型建构、科学推理、科学论证和质疑创新要求如何分布与组合？</w:t>
      </w:r>
    </w:p>
    <w:p>
      <w:pPr>
        <w:spacing w:after="60" w:line="324" w:lineRule="auto"/>
        <w:ind w:left="454" w:hanging="227"/>
      </w:pPr>
      <w:r>
        <w:rPr>
          <w:rFonts w:ascii="Noto Serif CJK SC" w:hAnsi="Noto Serif CJK SC" w:eastAsia="Noto Serif CJK SC"/>
          <w:sz w:val="21"/>
        </w:rPr>
        <w:t xml:space="preserve">3. </w:t>
      </w:r>
      <w:r>
        <w:rPr>
          <w:rFonts w:ascii="Noto Serif CJK SC" w:hAnsi="Noto Serif CJK SC" w:eastAsia="Noto Serif CJK SC"/>
          <w:sz w:val="21"/>
        </w:rPr>
        <w:t>RQ3：不同知识模块、情境类型、表征方式和数学工具下，思维要求有何差异？</w:t>
      </w:r>
    </w:p>
    <w:p>
      <w:pPr>
        <w:spacing w:after="60" w:line="324" w:lineRule="auto"/>
        <w:ind w:left="454" w:hanging="227"/>
      </w:pPr>
      <w:r>
        <w:rPr>
          <w:rFonts w:ascii="Noto Serif CJK SC" w:hAnsi="Noto Serif CJK SC" w:eastAsia="Noto Serif CJK SC"/>
          <w:sz w:val="21"/>
        </w:rPr>
        <w:t xml:space="preserve">4. </w:t>
      </w:r>
      <w:r>
        <w:rPr>
          <w:rFonts w:ascii="Noto Serif CJK SC" w:hAnsi="Noto Serif CJK SC" w:eastAsia="Noto Serif CJK SC"/>
          <w:sz w:val="21"/>
        </w:rPr>
        <w:t>RQ4：典型试题通过哪些题设与求解机制形成高阶认知要求？</w:t>
      </w:r>
    </w:p>
    <w:p>
      <w:pPr>
        <w:spacing w:after="60" w:line="324" w:lineRule="auto"/>
        <w:ind w:left="454" w:hanging="227"/>
      </w:pPr>
      <w:r>
        <w:rPr>
          <w:rFonts w:ascii="Noto Serif CJK SC" w:hAnsi="Noto Serif CJK SC" w:eastAsia="Noto Serif CJK SC"/>
          <w:sz w:val="21"/>
        </w:rPr>
        <w:t xml:space="preserve">5. </w:t>
      </w:r>
      <w:r>
        <w:rPr>
          <w:rFonts w:ascii="Noto Serif CJK SC" w:hAnsi="Noto Serif CJK SC" w:eastAsia="Noto Serif CJK SC"/>
          <w:sz w:val="21"/>
        </w:rPr>
        <w:t>RQ5：如何把试题分析结果转化为具体教学任务、支架和评价标准？</w:t>
      </w:r>
    </w:p>
    <w:p>
      <w:pPr>
        <w:pStyle w:val="Heading2"/>
        <w:keepNext/>
        <w:spacing w:before="160" w:after="120"/>
      </w:pPr>
      <w:r>
        <w:rPr>
          <w:rFonts w:ascii="Noto Sans CJK SC" w:hAnsi="Noto Sans CJK SC" w:eastAsia="Noto Sans CJK SC"/>
          <w:b/>
          <w:color w:val="323232"/>
          <w:sz w:val="24"/>
        </w:rPr>
        <w:t>3.2 条件性研究问题</w:t>
      </w:r>
    </w:p>
    <w:p>
      <w:pPr>
        <w:spacing w:line="360" w:lineRule="auto" w:after="100"/>
        <w:ind w:firstLine="420"/>
        <w:jc w:val="both"/>
      </w:pPr>
      <w:r>
        <w:rPr>
          <w:rFonts w:ascii="Noto Serif CJK SC" w:hAnsi="Noto Serif CJK SC" w:eastAsia="Noto Serif CJK SC"/>
          <w:sz w:val="21"/>
        </w:rPr>
        <w:t>有真实教师数据时保留“教师如何理解和实施科学思维教学”；有真实课堂迭代时保留“学生在两轮设计中呈现何种表现变化”。若缺少真实资料，不得为了章节完整而虚构。</w:t>
      </w:r>
    </w:p>
    <w:p>
      <w:pPr>
        <w:pStyle w:val="Heading2"/>
        <w:keepNext/>
        <w:spacing w:before="160" w:after="120"/>
      </w:pPr>
      <w:r>
        <w:rPr>
          <w:rFonts w:ascii="Noto Sans CJK SC" w:hAnsi="Noto Sans CJK SC" w:eastAsia="Noto Sans CJK SC"/>
          <w:b/>
          <w:color w:val="323232"/>
          <w:sz w:val="24"/>
        </w:rPr>
        <w:t>3.3 多阶段研究设计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304"/>
            <w:shd w:fill="D9EAF7"/>
            <w:vAlign w:val="center"/>
            <w:tcMar>
              <w:top w:w="100" w:type="dxa"/>
              <w:start w:w="120" w:type="dxa"/>
              <w:bottom w:w="100" w:type="dxa"/>
              <w:end w:w="120" w:type="dxa"/>
            </w:tcMar>
          </w:tcPr>
          <w:p>
            <w:pPr>
              <w:jc w:val="center"/>
            </w:pPr>
            <w:r>
              <w:rPr>
                <w:rFonts w:ascii="Noto Sans CJK SC" w:hAnsi="Noto Sans CJK SC" w:eastAsia="Noto Sans CJK SC"/>
                <w:b/>
                <w:sz w:val="17"/>
              </w:rPr>
              <w:t>阶段</w:t>
            </w:r>
          </w:p>
        </w:tc>
        <w:tc>
          <w:tcPr>
            <w:tcW w:type="dxa" w:w="2268"/>
            <w:shd w:fill="D9EAF7"/>
            <w:vAlign w:val="center"/>
            <w:tcMar>
              <w:top w:w="100" w:type="dxa"/>
              <w:start w:w="120" w:type="dxa"/>
              <w:bottom w:w="100" w:type="dxa"/>
              <w:end w:w="120" w:type="dxa"/>
            </w:tcMar>
          </w:tcPr>
          <w:p>
            <w:pPr>
              <w:jc w:val="center"/>
            </w:pPr>
            <w:r>
              <w:rPr>
                <w:rFonts w:ascii="Noto Sans CJK SC" w:hAnsi="Noto Sans CJK SC" w:eastAsia="Noto Sans CJK SC"/>
                <w:b/>
                <w:sz w:val="17"/>
              </w:rPr>
              <w:t>主要任务</w:t>
            </w:r>
          </w:p>
        </w:tc>
        <w:tc>
          <w:tcPr>
            <w:tcW w:type="dxa" w:w="2268"/>
            <w:shd w:fill="D9EAF7"/>
            <w:vAlign w:val="center"/>
            <w:tcMar>
              <w:top w:w="100" w:type="dxa"/>
              <w:start w:w="120" w:type="dxa"/>
              <w:bottom w:w="100" w:type="dxa"/>
              <w:end w:w="120" w:type="dxa"/>
            </w:tcMar>
          </w:tcPr>
          <w:p>
            <w:pPr>
              <w:jc w:val="center"/>
            </w:pPr>
            <w:r>
              <w:rPr>
                <w:rFonts w:ascii="Noto Sans CJK SC" w:hAnsi="Noto Sans CJK SC" w:eastAsia="Noto Sans CJK SC"/>
                <w:b/>
                <w:sz w:val="17"/>
              </w:rPr>
              <w:t>核心证据</w:t>
            </w:r>
          </w:p>
        </w:tc>
        <w:tc>
          <w:tcPr>
            <w:tcW w:type="dxa" w:w="2948"/>
            <w:shd w:fill="D9EAF7"/>
            <w:vAlign w:val="center"/>
            <w:tcMar>
              <w:top w:w="100" w:type="dxa"/>
              <w:start w:w="120" w:type="dxa"/>
              <w:bottom w:w="100" w:type="dxa"/>
              <w:end w:w="120" w:type="dxa"/>
            </w:tcMar>
          </w:tcPr>
          <w:p>
            <w:pPr>
              <w:jc w:val="center"/>
            </w:pPr>
            <w:r>
              <w:rPr>
                <w:rFonts w:ascii="Noto Sans CJK SC" w:hAnsi="Noto Sans CJK SC" w:eastAsia="Noto Sans CJK SC"/>
                <w:b/>
                <w:sz w:val="17"/>
              </w:rPr>
              <w:t>主要输出</w:t>
            </w:r>
          </w:p>
        </w:tc>
      </w:tr>
      <w:tr>
        <w:tc>
          <w:tcPr>
            <w:tcW w:type="dxa" w:w="130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1 理论开发</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核验科学思维与SOLO理论，形成指标</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课程标准、核心文献</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理论框架与编码手册V1</w:t>
            </w:r>
          </w:p>
        </w:tc>
      </w:tr>
      <w:tr>
        <w:tc>
          <w:tcPr>
            <w:tcW w:type="dxa" w:w="130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2 语料建设</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收集官方试题与答案，建立小问索引</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官方文件、来源日志</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八届小问级语料库</w:t>
            </w:r>
          </w:p>
        </w:tc>
      </w:tr>
      <w:tr>
        <w:tc>
          <w:tcPr>
            <w:tcW w:type="dxa" w:w="130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3 框架验证</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专家审查、两轮试编码、一致性分析</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专家表、编码记录</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编码手册V2与质量证据</w:t>
            </w:r>
          </w:p>
        </w:tc>
      </w:tr>
      <w:tr>
        <w:tc>
          <w:tcPr>
            <w:tcW w:type="dxa" w:w="130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4 正式分析</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双人编码、裁决、统计和典型案例</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正式编码表、脚本</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分布、共现、差异与案例</w:t>
            </w:r>
          </w:p>
        </w:tc>
      </w:tr>
      <w:tr>
        <w:tc>
          <w:tcPr>
            <w:tcW w:type="dxa" w:w="130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5 教学转化</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建立结果—策略矩阵</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试题结果、教师/学生证据</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教学任务、支架和量规</w:t>
            </w:r>
          </w:p>
        </w:tc>
      </w:tr>
      <w:tr>
        <w:tc>
          <w:tcPr>
            <w:tcW w:type="dxa" w:w="130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6 真实验证</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专家评审或两轮课堂迭代</w:t>
            </w:r>
          </w:p>
        </w:tc>
        <w:tc>
          <w:tcPr>
            <w:tcW w:type="dxa" w:w="226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访谈、课堂、学生作品</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可行性、变化与适用边界</w:t>
            </w:r>
          </w:p>
        </w:tc>
      </w:tr>
    </w:tbl>
    <w:p>
      <w:pPr>
        <w:spacing w:after="0"/>
      </w:pPr>
    </w:p>
    <w:p>
      <w:pPr>
        <w:pStyle w:val="Heading1"/>
        <w:keepNext/>
        <w:spacing w:before="240" w:after="120"/>
      </w:pPr>
      <w:r>
        <w:rPr>
          <w:rFonts w:ascii="Noto Sans CJK SC" w:hAnsi="Noto Sans CJK SC" w:eastAsia="Noto Sans CJK SC"/>
          <w:b/>
          <w:color w:val="1F4E79"/>
          <w:sz w:val="30"/>
        </w:rPr>
        <w:t>四、分析框架的优秀论文级升级</w:t>
      </w:r>
    </w:p>
    <w:p>
      <w:pPr>
        <w:pStyle w:val="Heading2"/>
        <w:keepNext/>
        <w:spacing w:before="160" w:after="120"/>
      </w:pPr>
      <w:r>
        <w:rPr>
          <w:rFonts w:ascii="Noto Sans CJK SC" w:hAnsi="Noto Sans CJK SC" w:eastAsia="Noto Sans CJK SC"/>
          <w:b/>
          <w:color w:val="323232"/>
          <w:sz w:val="24"/>
        </w:rPr>
        <w:t>4.1 理论适配</w:t>
      </w:r>
    </w:p>
    <w:p>
      <w:pPr>
        <w:spacing w:line="360" w:lineRule="auto" w:after="100"/>
        <w:ind w:firstLine="420"/>
        <w:jc w:val="both"/>
      </w:pPr>
      <w:r>
        <w:rPr>
          <w:rFonts w:ascii="Noto Serif CJK SC" w:hAnsi="Noto Serif CJK SC" w:eastAsia="Noto Serif CJK SC"/>
          <w:sz w:val="21"/>
        </w:rPr>
        <w:t>优秀版不把SOLO简单当作“试题难度等级”。研究对象是试题提出的认知活动，因此建议使用“SOLO启发的认知结构要求等级”，并在理论章说明这一适配的依据和限制。</w:t>
      </w:r>
    </w:p>
    <w:p>
      <w:pPr>
        <w:pStyle w:val="Heading2"/>
        <w:keepNext/>
        <w:spacing w:before="160" w:after="120"/>
      </w:pPr>
      <w:r>
        <w:rPr>
          <w:rFonts w:ascii="Noto Sans CJK SC" w:hAnsi="Noto Sans CJK SC" w:eastAsia="Noto Sans CJK SC"/>
          <w:b/>
          <w:color w:val="323232"/>
          <w:sz w:val="24"/>
        </w:rPr>
        <w:t>4.2 两层编码</w:t>
      </w:r>
    </w:p>
    <w:p>
      <w:pPr>
        <w:spacing w:line="360" w:lineRule="auto" w:after="100"/>
        <w:ind w:firstLine="420"/>
        <w:jc w:val="both"/>
      </w:pPr>
      <w:r>
        <w:rPr>
          <w:rFonts w:ascii="Noto Serif CJK SC" w:hAnsi="Noto Serif CJK SC" w:eastAsia="Noto Serif CJK SC"/>
          <w:sz w:val="21"/>
        </w:rPr>
        <w:t>第一层判断某一科学思维维度是否为完成该小问所必需；第二层判断该维度要求的结构深度。这样一道题可以形成多维需求画像，而不是只有一个模糊总等级。</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fill="D9EAF7"/>
            <w:vAlign w:val="center"/>
            <w:tcMar>
              <w:top w:w="100" w:type="dxa"/>
              <w:start w:w="120" w:type="dxa"/>
              <w:bottom w:w="100" w:type="dxa"/>
              <w:end w:w="120" w:type="dxa"/>
            </w:tcMar>
          </w:tcPr>
          <w:p>
            <w:pPr>
              <w:jc w:val="center"/>
            </w:pPr>
            <w:r>
              <w:rPr>
                <w:rFonts w:ascii="Noto Sans CJK SC" w:hAnsi="Noto Sans CJK SC" w:eastAsia="Noto Sans CJK SC"/>
                <w:b/>
                <w:sz w:val="17"/>
              </w:rPr>
              <w:t>维度</w:t>
            </w:r>
          </w:p>
        </w:tc>
        <w:tc>
          <w:tcPr>
            <w:tcW w:type="dxa" w:w="3402"/>
            <w:shd w:fill="D9EAF7"/>
            <w:vAlign w:val="center"/>
            <w:tcMar>
              <w:top w:w="100" w:type="dxa"/>
              <w:start w:w="120" w:type="dxa"/>
              <w:bottom w:w="100" w:type="dxa"/>
              <w:end w:w="120" w:type="dxa"/>
            </w:tcMar>
          </w:tcPr>
          <w:p>
            <w:pPr>
              <w:jc w:val="center"/>
            </w:pPr>
            <w:r>
              <w:rPr>
                <w:rFonts w:ascii="Noto Sans CJK SC" w:hAnsi="Noto Sans CJK SC" w:eastAsia="Noto Sans CJK SC"/>
                <w:b/>
                <w:sz w:val="17"/>
              </w:rPr>
              <w:t>核心问题</w:t>
            </w:r>
          </w:p>
        </w:tc>
        <w:tc>
          <w:tcPr>
            <w:tcW w:type="dxa" w:w="4082"/>
            <w:shd w:fill="D9EAF7"/>
            <w:vAlign w:val="center"/>
            <w:tcMar>
              <w:top w:w="100" w:type="dxa"/>
              <w:start w:w="120" w:type="dxa"/>
              <w:bottom w:w="100" w:type="dxa"/>
              <w:end w:w="120" w:type="dxa"/>
            </w:tcMar>
          </w:tcPr>
          <w:p>
            <w:pPr>
              <w:jc w:val="center"/>
            </w:pPr>
            <w:r>
              <w:rPr>
                <w:rFonts w:ascii="Noto Sans CJK SC" w:hAnsi="Noto Sans CJK SC" w:eastAsia="Noto Sans CJK SC"/>
                <w:b/>
                <w:sz w:val="17"/>
              </w:rPr>
              <w:t>示例等级逻辑</w:t>
            </w:r>
          </w:p>
        </w:tc>
      </w:tr>
      <w:tr>
        <w:tc>
          <w:tcPr>
            <w:tcW w:type="dxa" w:w="147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模型建构</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是否需要选择系统、变量、假设、边界或修正模型</w:t>
            </w:r>
          </w:p>
        </w:tc>
        <w:tc>
          <w:tcPr>
            <w:tcW w:type="dxa" w:w="408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标准模型识别→多要素组合→整合模型→迁移/修正模型</w:t>
            </w:r>
          </w:p>
        </w:tc>
      </w:tr>
      <w:tr>
        <w:tc>
          <w:tcPr>
            <w:tcW w:type="dxa" w:w="147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科学推理</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是否需要建立物理规律和数学关系之间的逻辑链</w:t>
            </w:r>
          </w:p>
        </w:tc>
        <w:tc>
          <w:tcPr>
            <w:tcW w:type="dxa" w:w="408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单一关系→多关系并列→关联整合→一般化/新路径</w:t>
            </w:r>
          </w:p>
        </w:tc>
      </w:tr>
      <w:tr>
        <w:tc>
          <w:tcPr>
            <w:tcW w:type="dxa" w:w="147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科学论证</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是否需要用证据支持、检验、比较或反驳结论</w:t>
            </w:r>
          </w:p>
        </w:tc>
        <w:tc>
          <w:tcPr>
            <w:tcW w:type="dxa" w:w="408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给出理由→多证据→边界/反例检验→综合评价</w:t>
            </w:r>
          </w:p>
        </w:tc>
      </w:tr>
      <w:tr>
        <w:tc>
          <w:tcPr>
            <w:tcW w:type="dxa" w:w="147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质疑创新</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是否需要挑战假设、提出替代方案或拓展模型</w:t>
            </w:r>
          </w:p>
        </w:tc>
        <w:tc>
          <w:tcPr>
            <w:tcW w:type="dxa" w:w="408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意识到问题→替代方案→比较修正→抽象推广</w:t>
            </w:r>
          </w:p>
        </w:tc>
      </w:tr>
    </w:tbl>
    <w:p>
      <w:pPr>
        <w:spacing w:after="0"/>
      </w:pPr>
    </w:p>
    <w:p>
      <w:pPr>
        <w:pStyle w:val="Heading2"/>
        <w:keepNext/>
        <w:spacing w:before="160" w:after="120"/>
      </w:pPr>
      <w:r>
        <w:rPr>
          <w:rFonts w:ascii="Noto Sans CJK SC" w:hAnsi="Noto Sans CJK SC" w:eastAsia="Noto Sans CJK SC"/>
          <w:b/>
          <w:color w:val="323232"/>
          <w:sz w:val="24"/>
        </w:rPr>
        <w:t>4.3 质量控制</w:t>
      </w:r>
    </w:p>
    <w:p>
      <w:pPr>
        <w:pStyle w:val="ListBullet"/>
        <w:spacing w:after="60" w:line="324" w:lineRule="auto"/>
        <w:ind w:left="425" w:hanging="198"/>
      </w:pPr>
      <w:r>
        <w:rPr>
          <w:rFonts w:ascii="Noto Serif CJK SC" w:hAnsi="Noto Serif CJK SC" w:eastAsia="Noto Serif CJK SC"/>
          <w:sz w:val="21"/>
        </w:rPr>
        <w:t>每个指标具有定义、纳入、排除、正例、反例和边界案例。</w:t>
      </w:r>
    </w:p>
    <w:p>
      <w:pPr>
        <w:pStyle w:val="ListBullet"/>
        <w:spacing w:after="60" w:line="324" w:lineRule="auto"/>
        <w:ind w:left="425" w:hanging="198"/>
      </w:pPr>
      <w:r>
        <w:rPr>
          <w:rFonts w:ascii="Noto Serif CJK SC" w:hAnsi="Noto Serif CJK SC" w:eastAsia="Noto Serif CJK SC"/>
          <w:sz w:val="21"/>
        </w:rPr>
        <w:t>专家审查不仅给“通过/不通过”，还记录相关性、清晰性、可观察性和适用性。</w:t>
      </w:r>
    </w:p>
    <w:p>
      <w:pPr>
        <w:pStyle w:val="ListBullet"/>
        <w:spacing w:after="60" w:line="324" w:lineRule="auto"/>
        <w:ind w:left="425" w:hanging="198"/>
      </w:pPr>
      <w:r>
        <w:rPr>
          <w:rFonts w:ascii="Noto Serif CJK SC" w:hAnsi="Noto Serif CJK SC" w:eastAsia="Noto Serif CJK SC"/>
          <w:sz w:val="21"/>
        </w:rPr>
        <w:t>至少两名评分者对试编码样本独立判断。</w:t>
      </w:r>
    </w:p>
    <w:p>
      <w:pPr>
        <w:pStyle w:val="ListBullet"/>
        <w:spacing w:after="60" w:line="324" w:lineRule="auto"/>
        <w:ind w:left="425" w:hanging="198"/>
      </w:pPr>
      <w:r>
        <w:rPr>
          <w:rFonts w:ascii="Noto Serif CJK SC" w:hAnsi="Noto Serif CJK SC" w:eastAsia="Noto Serif CJK SC"/>
          <w:sz w:val="21"/>
        </w:rPr>
        <w:t>维度存在性报告二分类一致性，等级报告有序一致性。</w:t>
      </w:r>
    </w:p>
    <w:p>
      <w:pPr>
        <w:pStyle w:val="ListBullet"/>
        <w:spacing w:after="60" w:line="324" w:lineRule="auto"/>
        <w:ind w:left="425" w:hanging="198"/>
      </w:pPr>
      <w:r>
        <w:rPr>
          <w:rFonts w:ascii="Noto Serif CJK SC" w:hAnsi="Noto Serif CJK SC" w:eastAsia="Noto Serif CJK SC"/>
          <w:sz w:val="21"/>
        </w:rPr>
        <w:t>分歧必须形成日志并反向修订编码手册。</w:t>
      </w:r>
    </w:p>
    <w:p>
      <w:pPr>
        <w:pStyle w:val="ListBullet"/>
        <w:spacing w:after="60" w:line="324" w:lineRule="auto"/>
        <w:ind w:left="425" w:hanging="198"/>
      </w:pPr>
      <w:r>
        <w:rPr>
          <w:rFonts w:ascii="Noto Serif CJK SC" w:hAnsi="Noto Serif CJK SC" w:eastAsia="Noto Serif CJK SC"/>
          <w:sz w:val="21"/>
        </w:rPr>
        <w:t>未经依据不建立四维加权总分，优先报告维度画像与共现关系。</w:t>
      </w:r>
    </w:p>
    <w:p>
      <w:pPr>
        <w:pStyle w:val="Heading1"/>
        <w:keepNext/>
        <w:spacing w:before="240" w:after="120"/>
      </w:pPr>
      <w:r>
        <w:rPr>
          <w:rFonts w:ascii="Noto Sans CJK SC" w:hAnsi="Noto Sans CJK SC" w:eastAsia="Noto Sans CJK SC"/>
          <w:b/>
          <w:color w:val="1F4E79"/>
          <w:sz w:val="30"/>
        </w:rPr>
        <w:t>五、官方试题语料库与正式编码</w:t>
      </w:r>
    </w:p>
    <w:p>
      <w:pPr>
        <w:pStyle w:val="Heading2"/>
        <w:keepNext/>
        <w:spacing w:before="160" w:after="120"/>
      </w:pPr>
      <w:r>
        <w:rPr>
          <w:rFonts w:ascii="Noto Sans CJK SC" w:hAnsi="Noto Sans CJK SC" w:eastAsia="Noto Sans CJK SC"/>
          <w:b/>
          <w:color w:val="323232"/>
          <w:sz w:val="24"/>
        </w:rPr>
        <w:t>5.1 语料库最低标准</w:t>
      </w:r>
    </w:p>
    <w:p>
      <w:pPr>
        <w:pStyle w:val="ListBullet"/>
        <w:spacing w:after="60" w:line="324" w:lineRule="auto"/>
        <w:ind w:left="425" w:hanging="198"/>
      </w:pPr>
      <w:r>
        <w:rPr>
          <w:rFonts w:ascii="Noto Serif CJK SC" w:hAnsi="Noto Serif CJK SC" w:eastAsia="Noto Serif CJK SC"/>
          <w:sz w:val="21"/>
        </w:rPr>
        <w:t>第35—42届每届试题和答案都有可核验来源。</w:t>
      </w:r>
    </w:p>
    <w:p>
      <w:pPr>
        <w:pStyle w:val="ListBullet"/>
        <w:spacing w:after="60" w:line="324" w:lineRule="auto"/>
        <w:ind w:left="425" w:hanging="198"/>
      </w:pPr>
      <w:r>
        <w:rPr>
          <w:rFonts w:ascii="Noto Serif CJK SC" w:hAnsi="Noto Serif CJK SC" w:eastAsia="Noto Serif CJK SC"/>
          <w:sz w:val="21"/>
        </w:rPr>
        <w:t>记录文件名、来源、获取日期、页数、文件大小和SHA-256校验值。</w:t>
      </w:r>
    </w:p>
    <w:p>
      <w:pPr>
        <w:pStyle w:val="ListBullet"/>
        <w:spacing w:after="60" w:line="324" w:lineRule="auto"/>
        <w:ind w:left="425" w:hanging="198"/>
      </w:pPr>
      <w:r>
        <w:rPr>
          <w:rFonts w:ascii="Noto Serif CJK SC" w:hAnsi="Noto Serif CJK SC" w:eastAsia="Noto Serif CJK SC"/>
          <w:sz w:val="21"/>
        </w:rPr>
        <w:t>届次、年份、复赛阶段、题号和分值以官方文件为准。</w:t>
      </w:r>
    </w:p>
    <w:p>
      <w:pPr>
        <w:pStyle w:val="ListBullet"/>
        <w:spacing w:after="60" w:line="324" w:lineRule="auto"/>
        <w:ind w:left="425" w:hanging="198"/>
      </w:pPr>
      <w:r>
        <w:rPr>
          <w:rFonts w:ascii="Noto Serif CJK SC" w:hAnsi="Noto Serif CJK SC" w:eastAsia="Noto Serif CJK SC"/>
          <w:sz w:val="21"/>
        </w:rPr>
        <w:t>每条小问索引能回到试题页和答案页。</w:t>
      </w:r>
    </w:p>
    <w:p>
      <w:pPr>
        <w:pStyle w:val="ListBullet"/>
        <w:spacing w:after="60" w:line="324" w:lineRule="auto"/>
        <w:ind w:left="425" w:hanging="198"/>
      </w:pPr>
      <w:r>
        <w:rPr>
          <w:rFonts w:ascii="Noto Serif CJK SC" w:hAnsi="Noto Serif CJK SC" w:eastAsia="Noto Serif CJK SC"/>
          <w:sz w:val="21"/>
        </w:rPr>
        <w:t>网络转载在未核对前不能作为正式语料。</w:t>
      </w:r>
    </w:p>
    <w:p>
      <w:pPr>
        <w:pStyle w:val="Heading2"/>
        <w:keepNext/>
        <w:spacing w:before="160" w:after="120"/>
      </w:pPr>
      <w:r>
        <w:rPr>
          <w:rFonts w:ascii="Noto Sans CJK SC" w:hAnsi="Noto Sans CJK SC" w:eastAsia="Noto Sans CJK SC"/>
          <w:b/>
          <w:color w:val="323232"/>
          <w:sz w:val="24"/>
        </w:rPr>
        <w:t>5.2 正式编码流程</w:t>
      </w:r>
    </w:p>
    <w:p>
      <w:pPr>
        <w:spacing w:after="60" w:line="324" w:lineRule="auto"/>
        <w:ind w:left="454" w:hanging="227"/>
      </w:pPr>
      <w:r>
        <w:rPr>
          <w:rFonts w:ascii="Noto Serif CJK SC" w:hAnsi="Noto Serif CJK SC" w:eastAsia="Noto Serif CJK SC"/>
          <w:sz w:val="21"/>
        </w:rPr>
        <w:t xml:space="preserve">1. </w:t>
      </w:r>
      <w:r>
        <w:rPr>
          <w:rFonts w:ascii="Noto Serif CJK SC" w:hAnsi="Noto Serif CJK SC" w:eastAsia="Noto Serif CJK SC"/>
          <w:sz w:val="21"/>
        </w:rPr>
        <w:t>冻结编码手册V2；</w:t>
      </w:r>
    </w:p>
    <w:p>
      <w:pPr>
        <w:spacing w:after="60" w:line="324" w:lineRule="auto"/>
        <w:ind w:left="454" w:hanging="227"/>
      </w:pPr>
      <w:r>
        <w:rPr>
          <w:rFonts w:ascii="Noto Serif CJK SC" w:hAnsi="Noto Serif CJK SC" w:eastAsia="Noto Serif CJK SC"/>
          <w:sz w:val="21"/>
        </w:rPr>
        <w:t xml:space="preserve">2. </w:t>
      </w:r>
      <w:r>
        <w:rPr>
          <w:rFonts w:ascii="Noto Serif CJK SC" w:hAnsi="Noto Serif CJK SC" w:eastAsia="Noto Serif CJK SC"/>
          <w:sz w:val="21"/>
        </w:rPr>
        <w:t>两名评分者独立编码；</w:t>
      </w:r>
    </w:p>
    <w:p>
      <w:pPr>
        <w:spacing w:after="60" w:line="324" w:lineRule="auto"/>
        <w:ind w:left="454" w:hanging="227"/>
      </w:pPr>
      <w:r>
        <w:rPr>
          <w:rFonts w:ascii="Noto Serif CJK SC" w:hAnsi="Noto Serif CJK SC" w:eastAsia="Noto Serif CJK SC"/>
          <w:sz w:val="21"/>
        </w:rPr>
        <w:t xml:space="preserve">3. </w:t>
      </w:r>
      <w:r>
        <w:rPr>
          <w:rFonts w:ascii="Noto Serif CJK SC" w:hAnsi="Noto Serif CJK SC" w:eastAsia="Noto Serif CJK SC"/>
          <w:sz w:val="21"/>
        </w:rPr>
        <w:t>记录每条判定的文字证据和信心程度；</w:t>
      </w:r>
    </w:p>
    <w:p>
      <w:pPr>
        <w:spacing w:after="60" w:line="324" w:lineRule="auto"/>
        <w:ind w:left="454" w:hanging="227"/>
      </w:pPr>
      <w:r>
        <w:rPr>
          <w:rFonts w:ascii="Noto Serif CJK SC" w:hAnsi="Noto Serif CJK SC" w:eastAsia="Noto Serif CJK SC"/>
          <w:sz w:val="21"/>
        </w:rPr>
        <w:t xml:space="preserve">4. </w:t>
      </w:r>
      <w:r>
        <w:rPr>
          <w:rFonts w:ascii="Noto Serif CJK SC" w:hAnsi="Noto Serif CJK SC" w:eastAsia="Noto Serif CJK SC"/>
          <w:sz w:val="21"/>
        </w:rPr>
        <w:t>对分歧进行规则化裁决；</w:t>
      </w:r>
    </w:p>
    <w:p>
      <w:pPr>
        <w:spacing w:after="60" w:line="324" w:lineRule="auto"/>
        <w:ind w:left="454" w:hanging="227"/>
      </w:pPr>
      <w:r>
        <w:rPr>
          <w:rFonts w:ascii="Noto Serif CJK SC" w:hAnsi="Noto Serif CJK SC" w:eastAsia="Noto Serif CJK SC"/>
          <w:sz w:val="21"/>
        </w:rPr>
        <w:t xml:space="preserve">5. </w:t>
      </w:r>
      <w:r>
        <w:rPr>
          <w:rFonts w:ascii="Noto Serif CJK SC" w:hAnsi="Noto Serif CJK SC" w:eastAsia="Noto Serif CJK SC"/>
          <w:sz w:val="21"/>
        </w:rPr>
        <w:t>生成唯一的裁决后分析表；</w:t>
      </w:r>
    </w:p>
    <w:p>
      <w:pPr>
        <w:spacing w:after="60" w:line="324" w:lineRule="auto"/>
        <w:ind w:left="454" w:hanging="227"/>
      </w:pPr>
      <w:r>
        <w:rPr>
          <w:rFonts w:ascii="Noto Serif CJK SC" w:hAnsi="Noto Serif CJK SC" w:eastAsia="Noto Serif CJK SC"/>
          <w:sz w:val="21"/>
        </w:rPr>
        <w:t xml:space="preserve">6. </w:t>
      </w:r>
      <w:r>
        <w:rPr>
          <w:rFonts w:ascii="Noto Serif CJK SC" w:hAnsi="Noto Serif CJK SC" w:eastAsia="Noto Serif CJK SC"/>
          <w:sz w:val="21"/>
        </w:rPr>
        <w:t>用脚本生成全部表格和图形；</w:t>
      </w:r>
    </w:p>
    <w:p>
      <w:pPr>
        <w:spacing w:after="60" w:line="324" w:lineRule="auto"/>
        <w:ind w:left="454" w:hanging="227"/>
      </w:pPr>
      <w:r>
        <w:rPr>
          <w:rFonts w:ascii="Noto Serif CJK SC" w:hAnsi="Noto Serif CJK SC" w:eastAsia="Noto Serif CJK SC"/>
          <w:sz w:val="21"/>
        </w:rPr>
        <w:t xml:space="preserve">7. </w:t>
      </w:r>
      <w:r>
        <w:rPr>
          <w:rFonts w:ascii="Noto Serif CJK SC" w:hAnsi="Noto Serif CJK SC" w:eastAsia="Noto Serif CJK SC"/>
          <w:sz w:val="21"/>
        </w:rPr>
        <w:t>典型案例按照预设规则选择，不只挑最漂亮的题。</w:t>
      </w:r>
    </w:p>
    <w:p>
      <w:pPr>
        <w:pStyle w:val="Heading2"/>
        <w:keepNext/>
        <w:spacing w:before="160" w:after="120"/>
      </w:pPr>
      <w:r>
        <w:rPr>
          <w:rFonts w:ascii="Noto Sans CJK SC" w:hAnsi="Noto Sans CJK SC" w:eastAsia="Noto Sans CJK SC"/>
          <w:b/>
          <w:color w:val="323232"/>
          <w:sz w:val="24"/>
        </w:rPr>
        <w:t>5.3 推荐结果形态</w:t>
      </w:r>
    </w:p>
    <w:p>
      <w:pPr>
        <w:pStyle w:val="ListBullet"/>
        <w:spacing w:after="60" w:line="324" w:lineRule="auto"/>
        <w:ind w:left="425" w:hanging="198"/>
      </w:pPr>
      <w:r>
        <w:rPr>
          <w:rFonts w:ascii="Noto Serif CJK SC" w:hAnsi="Noto Serif CJK SC" w:eastAsia="Noto Serif CJK SC"/>
          <w:sz w:val="21"/>
        </w:rPr>
        <w:t>四维度出现频率和等级分布；</w:t>
      </w:r>
    </w:p>
    <w:p>
      <w:pPr>
        <w:pStyle w:val="ListBullet"/>
        <w:spacing w:after="60" w:line="324" w:lineRule="auto"/>
        <w:ind w:left="425" w:hanging="198"/>
      </w:pPr>
      <w:r>
        <w:rPr>
          <w:rFonts w:ascii="Noto Serif CJK SC" w:hAnsi="Noto Serif CJK SC" w:eastAsia="Noto Serif CJK SC"/>
          <w:sz w:val="21"/>
        </w:rPr>
        <w:t>维度共现热图或网络；</w:t>
      </w:r>
    </w:p>
    <w:p>
      <w:pPr>
        <w:pStyle w:val="ListBullet"/>
        <w:spacing w:after="60" w:line="324" w:lineRule="auto"/>
        <w:ind w:left="425" w:hanging="198"/>
      </w:pPr>
      <w:r>
        <w:rPr>
          <w:rFonts w:ascii="Noto Serif CJK SC" w:hAnsi="Noto Serif CJK SC" w:eastAsia="Noto Serif CJK SC"/>
          <w:sz w:val="21"/>
        </w:rPr>
        <w:t>不同模块、情境、表征和数学工具的需求画像；</w:t>
      </w:r>
    </w:p>
    <w:p>
      <w:pPr>
        <w:pStyle w:val="ListBullet"/>
        <w:spacing w:after="60" w:line="324" w:lineRule="auto"/>
        <w:ind w:left="425" w:hanging="198"/>
      </w:pPr>
      <w:r>
        <w:rPr>
          <w:rFonts w:ascii="Noto Serif CJK SC" w:hAnsi="Noto Serif CJK SC" w:eastAsia="Noto Serif CJK SC"/>
          <w:sz w:val="21"/>
        </w:rPr>
        <w:t>届次点图或折线图，但使用“样本内变化”而不是强趋势结论；</w:t>
      </w:r>
    </w:p>
    <w:p>
      <w:pPr>
        <w:pStyle w:val="ListBullet"/>
        <w:spacing w:after="60" w:line="324" w:lineRule="auto"/>
        <w:ind w:left="425" w:hanging="198"/>
      </w:pPr>
      <w:r>
        <w:rPr>
          <w:rFonts w:ascii="Noto Serif CJK SC" w:hAnsi="Noto Serif CJK SC" w:eastAsia="Noto Serif CJK SC"/>
          <w:sz w:val="21"/>
        </w:rPr>
        <w:t>6—8道典型试题的统一协议案例分析；</w:t>
      </w:r>
    </w:p>
    <w:p>
      <w:pPr>
        <w:pStyle w:val="ListBullet"/>
        <w:spacing w:after="60" w:line="324" w:lineRule="auto"/>
        <w:ind w:left="425" w:hanging="198"/>
      </w:pPr>
      <w:r>
        <w:rPr>
          <w:rFonts w:ascii="Noto Serif CJK SC" w:hAnsi="Noto Serif CJK SC" w:eastAsia="Noto Serif CJK SC"/>
          <w:sz w:val="21"/>
        </w:rPr>
        <w:t>结果的稳健性、分母和边界说明。</w:t>
      </w:r>
    </w:p>
    <w:p>
      <w:pPr>
        <w:pStyle w:val="Heading1"/>
        <w:keepNext/>
        <w:spacing w:before="240" w:after="120"/>
      </w:pPr>
      <w:r>
        <w:rPr>
          <w:rFonts w:ascii="Noto Sans CJK SC" w:hAnsi="Noto Sans CJK SC" w:eastAsia="Noto Sans CJK SC"/>
          <w:b/>
          <w:color w:val="1F4E79"/>
          <w:sz w:val="30"/>
        </w:rPr>
        <w:t>六、教师证据与课堂验证</w:t>
      </w:r>
    </w:p>
    <w:p>
      <w:pPr>
        <w:pStyle w:val="Heading2"/>
        <w:keepNext/>
        <w:spacing w:before="160" w:after="120"/>
      </w:pPr>
      <w:r>
        <w:rPr>
          <w:rFonts w:ascii="Noto Sans CJK SC" w:hAnsi="Noto Sans CJK SC" w:eastAsia="Noto Sans CJK SC"/>
          <w:b/>
          <w:color w:val="323232"/>
          <w:sz w:val="24"/>
        </w:rPr>
        <w:t>6.1 不建议直接沿用原问卷</w:t>
      </w:r>
    </w:p>
    <w:p>
      <w:pPr>
        <w:spacing w:line="360" w:lineRule="auto" w:after="100"/>
        <w:ind w:firstLine="420"/>
        <w:jc w:val="both"/>
      </w:pPr>
      <w:r>
        <w:rPr>
          <w:rFonts w:ascii="Noto Serif CJK SC" w:hAnsi="Noto Serif CJK SC" w:eastAsia="Noto Serif CJK SC"/>
          <w:sz w:val="21"/>
        </w:rPr>
        <w:t>原问卷可以作为题项池，但不能直接发放。优秀版应先明确构念、统一量表、补充教师背景和知情说明，并通过专家审查与小样本预测试。条件有限时，优先做深度访谈，比无效的大而散问卷更有价值。</w:t>
      </w:r>
    </w:p>
    <w:p>
      <w:pPr>
        <w:pStyle w:val="Heading2"/>
        <w:keepNext/>
        <w:spacing w:before="160" w:after="120"/>
      </w:pPr>
      <w:r>
        <w:rPr>
          <w:rFonts w:ascii="Noto Sans CJK SC" w:hAnsi="Noto Sans CJK SC" w:eastAsia="Noto Sans CJK SC"/>
          <w:b/>
          <w:color w:val="323232"/>
          <w:sz w:val="24"/>
        </w:rPr>
        <w:t>6.2 推荐的证据组合</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D9EAF7"/>
            <w:vAlign w:val="center"/>
            <w:tcMar>
              <w:top w:w="100" w:type="dxa"/>
              <w:start w:w="120" w:type="dxa"/>
              <w:bottom w:w="100" w:type="dxa"/>
              <w:end w:w="120" w:type="dxa"/>
            </w:tcMar>
          </w:tcPr>
          <w:p>
            <w:pPr>
              <w:jc w:val="center"/>
            </w:pPr>
            <w:r>
              <w:rPr>
                <w:rFonts w:ascii="Noto Sans CJK SC" w:hAnsi="Noto Sans CJK SC" w:eastAsia="Noto Sans CJK SC"/>
                <w:b/>
                <w:sz w:val="16"/>
              </w:rPr>
              <w:t>条件</w:t>
            </w:r>
          </w:p>
        </w:tc>
        <w:tc>
          <w:tcPr>
            <w:tcW w:type="dxa" w:w="2381"/>
            <w:shd w:fill="D9EAF7"/>
            <w:vAlign w:val="center"/>
            <w:tcMar>
              <w:top w:w="100" w:type="dxa"/>
              <w:start w:w="120" w:type="dxa"/>
              <w:bottom w:w="100" w:type="dxa"/>
              <w:end w:w="120" w:type="dxa"/>
            </w:tcMar>
          </w:tcPr>
          <w:p>
            <w:pPr>
              <w:jc w:val="center"/>
            </w:pPr>
            <w:r>
              <w:rPr>
                <w:rFonts w:ascii="Noto Sans CJK SC" w:hAnsi="Noto Sans CJK SC" w:eastAsia="Noto Sans CJK SC"/>
                <w:b/>
                <w:sz w:val="16"/>
              </w:rPr>
              <w:t>推荐方案</w:t>
            </w:r>
          </w:p>
        </w:tc>
        <w:tc>
          <w:tcPr>
            <w:tcW w:type="dxa" w:w="2551"/>
            <w:shd w:fill="D9EAF7"/>
            <w:vAlign w:val="center"/>
            <w:tcMar>
              <w:top w:w="100" w:type="dxa"/>
              <w:start w:w="120" w:type="dxa"/>
              <w:bottom w:w="100" w:type="dxa"/>
              <w:end w:w="120" w:type="dxa"/>
            </w:tcMar>
          </w:tcPr>
          <w:p>
            <w:pPr>
              <w:jc w:val="center"/>
            </w:pPr>
            <w:r>
              <w:rPr>
                <w:rFonts w:ascii="Noto Sans CJK SC" w:hAnsi="Noto Sans CJK SC" w:eastAsia="Noto Sans CJK SC"/>
                <w:b/>
                <w:sz w:val="16"/>
              </w:rPr>
              <w:t>可以形成的结论</w:t>
            </w:r>
          </w:p>
        </w:tc>
        <w:tc>
          <w:tcPr>
            <w:tcW w:type="dxa" w:w="2438"/>
            <w:shd w:fill="D9EAF7"/>
            <w:vAlign w:val="center"/>
            <w:tcMar>
              <w:top w:w="100" w:type="dxa"/>
              <w:start w:w="120" w:type="dxa"/>
              <w:bottom w:w="100" w:type="dxa"/>
              <w:end w:w="120" w:type="dxa"/>
            </w:tcMar>
          </w:tcPr>
          <w:p>
            <w:pPr>
              <w:jc w:val="center"/>
            </w:pPr>
            <w:r>
              <w:rPr>
                <w:rFonts w:ascii="Noto Sans CJK SC" w:hAnsi="Noto Sans CJK SC" w:eastAsia="Noto Sans CJK SC"/>
                <w:b/>
                <w:sz w:val="16"/>
              </w:rPr>
              <w:t>不能形成的结论</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只有少量教师资源</w:t>
            </w:r>
          </w:p>
        </w:tc>
        <w:tc>
          <w:tcPr>
            <w:tcW w:type="dxa" w:w="238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8—15名半结构访谈或专家咨询</w:t>
            </w:r>
          </w:p>
        </w:tc>
        <w:tc>
          <w:tcPr>
            <w:tcW w:type="dxa" w:w="255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教师如何判断试题与实施教学</w:t>
            </w:r>
          </w:p>
        </w:tc>
        <w:tc>
          <w:tcPr>
            <w:tcW w:type="dxa" w:w="2438"/>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全国教师普遍现状</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有较大教师网络</w:t>
            </w:r>
          </w:p>
        </w:tc>
        <w:tc>
          <w:tcPr>
            <w:tcW w:type="dxa" w:w="238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预测试后的问卷 + 访谈</w:t>
            </w:r>
          </w:p>
        </w:tc>
        <w:tc>
          <w:tcPr>
            <w:tcW w:type="dxa" w:w="255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样本内倾向及其原因</w:t>
            </w:r>
          </w:p>
        </w:tc>
        <w:tc>
          <w:tcPr>
            <w:tcW w:type="dxa" w:w="2438"/>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无代表性抽样时的全国比例</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能进入真实课堂</w:t>
            </w:r>
          </w:p>
        </w:tc>
        <w:tc>
          <w:tcPr>
            <w:tcW w:type="dxa" w:w="238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两轮设计型研究</w:t>
            </w:r>
          </w:p>
        </w:tc>
        <w:tc>
          <w:tcPr>
            <w:tcW w:type="dxa" w:w="255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教学方案如何实施、修订及学生表现</w:t>
            </w:r>
          </w:p>
        </w:tc>
        <w:tc>
          <w:tcPr>
            <w:tcW w:type="dxa" w:w="2438"/>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严格因果效果和普遍推广</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已有规范实验条件</w:t>
            </w:r>
          </w:p>
        </w:tc>
        <w:tc>
          <w:tcPr>
            <w:tcW w:type="dxa" w:w="238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预注册或明确分析方案的准实验</w:t>
            </w:r>
          </w:p>
        </w:tc>
        <w:tc>
          <w:tcPr>
            <w:tcW w:type="dxa" w:w="2551"/>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特定样本中的组间/前后差异</w:t>
            </w:r>
          </w:p>
        </w:tc>
        <w:tc>
          <w:tcPr>
            <w:tcW w:type="dxa" w:w="2438"/>
            <w:vAlign w:val="top"/>
            <w:tcMar>
              <w:top w:w="100" w:type="dxa"/>
              <w:start w:w="120" w:type="dxa"/>
              <w:bottom w:w="100" w:type="dxa"/>
              <w:end w:w="120" w:type="dxa"/>
            </w:tcMar>
          </w:tcPr>
          <w:p>
            <w:pPr>
              <w:spacing w:line="276" w:lineRule="auto" w:after="0"/>
            </w:pPr>
            <w:r>
              <w:rPr>
                <w:rFonts w:ascii="Noto Serif CJK SC" w:hAnsi="Noto Serif CJK SC" w:eastAsia="Noto Serif CJK SC"/>
                <w:sz w:val="16"/>
              </w:rPr>
              <w:t>长期创新能力与全国普适性</w:t>
            </w:r>
          </w:p>
        </w:tc>
      </w:tr>
    </w:tbl>
    <w:p>
      <w:pPr>
        <w:spacing w:after="0"/>
      </w:pPr>
    </w:p>
    <w:p>
      <w:pPr>
        <w:pStyle w:val="Heading2"/>
        <w:keepNext/>
        <w:spacing w:before="160" w:after="120"/>
      </w:pPr>
      <w:r>
        <w:rPr>
          <w:rFonts w:ascii="Noto Sans CJK SC" w:hAnsi="Noto Sans CJK SC" w:eastAsia="Noto Sans CJK SC"/>
          <w:b/>
          <w:color w:val="323232"/>
          <w:sz w:val="24"/>
        </w:rPr>
        <w:t>6.3 教学转化的五步链</w:t>
      </w:r>
    </w:p>
    <w:p>
      <w:pPr>
        <w:spacing w:after="60" w:line="324" w:lineRule="auto"/>
        <w:ind w:left="454" w:hanging="227"/>
      </w:pPr>
      <w:r>
        <w:rPr>
          <w:rFonts w:ascii="Noto Serif CJK SC" w:hAnsi="Noto Serif CJK SC" w:eastAsia="Noto Serif CJK SC"/>
          <w:sz w:val="21"/>
        </w:rPr>
        <w:t xml:space="preserve">1. </w:t>
      </w:r>
      <w:r>
        <w:rPr>
          <w:rFonts w:ascii="Noto Serif CJK SC" w:hAnsi="Noto Serif CJK SC" w:eastAsia="Noto Serif CJK SC"/>
          <w:sz w:val="21"/>
        </w:rPr>
        <w:t>结果：试题编码揭示目标思维要求；</w:t>
      </w:r>
    </w:p>
    <w:p>
      <w:pPr>
        <w:spacing w:after="60" w:line="324" w:lineRule="auto"/>
        <w:ind w:left="454" w:hanging="227"/>
      </w:pPr>
      <w:r>
        <w:rPr>
          <w:rFonts w:ascii="Noto Serif CJK SC" w:hAnsi="Noto Serif CJK SC" w:eastAsia="Noto Serif CJK SC"/>
          <w:sz w:val="21"/>
        </w:rPr>
        <w:t xml:space="preserve">2. </w:t>
      </w:r>
      <w:r>
        <w:rPr>
          <w:rFonts w:ascii="Noto Serif CJK SC" w:hAnsi="Noto Serif CJK SC" w:eastAsia="Noto Serif CJK SC"/>
          <w:sz w:val="21"/>
        </w:rPr>
        <w:t>问题：教师访谈或学生作品揭示具体困难；</w:t>
      </w:r>
    </w:p>
    <w:p>
      <w:pPr>
        <w:spacing w:after="60" w:line="324" w:lineRule="auto"/>
        <w:ind w:left="454" w:hanging="227"/>
      </w:pPr>
      <w:r>
        <w:rPr>
          <w:rFonts w:ascii="Noto Serif CJK SC" w:hAnsi="Noto Serif CJK SC" w:eastAsia="Noto Serif CJK SC"/>
          <w:sz w:val="21"/>
        </w:rPr>
        <w:t xml:space="preserve">3. </w:t>
      </w:r>
      <w:r>
        <w:rPr>
          <w:rFonts w:ascii="Noto Serif CJK SC" w:hAnsi="Noto Serif CJK SC" w:eastAsia="Noto Serif CJK SC"/>
          <w:sz w:val="21"/>
        </w:rPr>
        <w:t>策略：提出针对性教学原则；</w:t>
      </w:r>
    </w:p>
    <w:p>
      <w:pPr>
        <w:spacing w:after="60" w:line="324" w:lineRule="auto"/>
        <w:ind w:left="454" w:hanging="227"/>
      </w:pPr>
      <w:r>
        <w:rPr>
          <w:rFonts w:ascii="Noto Serif CJK SC" w:hAnsi="Noto Serif CJK SC" w:eastAsia="Noto Serif CJK SC"/>
          <w:sz w:val="21"/>
        </w:rPr>
        <w:t xml:space="preserve">4. </w:t>
      </w:r>
      <w:r>
        <w:rPr>
          <w:rFonts w:ascii="Noto Serif CJK SC" w:hAnsi="Noto Serif CJK SC" w:eastAsia="Noto Serif CJK SC"/>
          <w:sz w:val="21"/>
        </w:rPr>
        <w:t>任务：设计问题链、支架、变式和学生产出；</w:t>
      </w:r>
    </w:p>
    <w:p>
      <w:pPr>
        <w:spacing w:after="60" w:line="324" w:lineRule="auto"/>
        <w:ind w:left="454" w:hanging="227"/>
      </w:pPr>
      <w:r>
        <w:rPr>
          <w:rFonts w:ascii="Noto Serif CJK SC" w:hAnsi="Noto Serif CJK SC" w:eastAsia="Noto Serif CJK SC"/>
          <w:sz w:val="21"/>
        </w:rPr>
        <w:t xml:space="preserve">5. </w:t>
      </w:r>
      <w:r>
        <w:rPr>
          <w:rFonts w:ascii="Noto Serif CJK SC" w:hAnsi="Noto Serif CJK SC" w:eastAsia="Noto Serif CJK SC"/>
          <w:sz w:val="21"/>
        </w:rPr>
        <w:t>评价：用可观察量规判断模型、推理、论证和创新表现。</w:t>
      </w:r>
    </w:p>
    <w:p>
      <w:pPr>
        <w:pStyle w:val="Heading1"/>
        <w:keepNext/>
        <w:spacing w:before="240" w:after="120"/>
      </w:pPr>
      <w:r>
        <w:rPr>
          <w:rFonts w:ascii="Noto Sans CJK SC" w:hAnsi="Noto Sans CJK SC" w:eastAsia="Noto Sans CJK SC"/>
          <w:b/>
          <w:color w:val="1F4E79"/>
          <w:sz w:val="30"/>
        </w:rPr>
        <w:t>七、章节结构与写作顺序</w:t>
      </w:r>
    </w:p>
    <w:p>
      <w:pPr>
        <w:pStyle w:val="Heading2"/>
        <w:keepNext/>
        <w:spacing w:before="160" w:after="120"/>
      </w:pPr>
      <w:r>
        <w:rPr>
          <w:rFonts w:ascii="Noto Sans CJK SC" w:hAnsi="Noto Sans CJK SC" w:eastAsia="Noto Sans CJK SC"/>
          <w:b/>
          <w:color w:val="323232"/>
          <w:sz w:val="24"/>
        </w:rPr>
        <w:t>7.1 推荐七章结构</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D9EAF7"/>
            <w:vAlign w:val="center"/>
            <w:tcMar>
              <w:top w:w="100" w:type="dxa"/>
              <w:start w:w="120" w:type="dxa"/>
              <w:bottom w:w="100" w:type="dxa"/>
              <w:end w:w="120" w:type="dxa"/>
            </w:tcMar>
          </w:tcPr>
          <w:p>
            <w:pPr>
              <w:jc w:val="center"/>
            </w:pPr>
            <w:r>
              <w:rPr>
                <w:rFonts w:ascii="Noto Sans CJK SC" w:hAnsi="Noto Sans CJK SC" w:eastAsia="Noto Sans CJK SC"/>
                <w:b/>
                <w:sz w:val="17"/>
              </w:rPr>
              <w:t>章节</w:t>
            </w:r>
          </w:p>
        </w:tc>
        <w:tc>
          <w:tcPr>
            <w:tcW w:type="dxa" w:w="3402"/>
            <w:shd w:fill="D9EAF7"/>
            <w:vAlign w:val="center"/>
            <w:tcMar>
              <w:top w:w="100" w:type="dxa"/>
              <w:start w:w="120" w:type="dxa"/>
              <w:bottom w:w="100" w:type="dxa"/>
              <w:end w:w="120" w:type="dxa"/>
            </w:tcMar>
          </w:tcPr>
          <w:p>
            <w:pPr>
              <w:jc w:val="center"/>
            </w:pPr>
            <w:r>
              <w:rPr>
                <w:rFonts w:ascii="Noto Sans CJK SC" w:hAnsi="Noto Sans CJK SC" w:eastAsia="Noto Sans CJK SC"/>
                <w:b/>
                <w:sz w:val="17"/>
              </w:rPr>
              <w:t>核心任务</w:t>
            </w:r>
          </w:p>
        </w:tc>
        <w:tc>
          <w:tcPr>
            <w:tcW w:type="dxa" w:w="3855"/>
            <w:shd w:fill="D9EAF7"/>
            <w:vAlign w:val="center"/>
            <w:tcMar>
              <w:top w:w="100" w:type="dxa"/>
              <w:start w:w="120" w:type="dxa"/>
              <w:bottom w:w="100" w:type="dxa"/>
              <w:end w:w="120" w:type="dxa"/>
            </w:tcMar>
          </w:tcPr>
          <w:p>
            <w:pPr>
              <w:jc w:val="center"/>
            </w:pPr>
            <w:r>
              <w:rPr>
                <w:rFonts w:ascii="Noto Sans CJK SC" w:hAnsi="Noto Sans CJK SC" w:eastAsia="Noto Sans CJK SC"/>
                <w:b/>
                <w:sz w:val="17"/>
              </w:rPr>
              <w:t>必须出现的证据</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第1章 绪论</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问题、文献、研究问题和价值</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经核验文献，不提前给结果</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第2章 理论基础</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科学思维、SOLO及适配</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理论原文、概念边界</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第3章 研究设计</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语料、编码、专家、一致性</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完整流程和质量证据</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第4章 实证结果</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分布、等级、共现和差异</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脚本生成的表图</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第5章 案例与诊断</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解释典型机制和教学错位</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原题、答案、编码、教师/学生证据</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第6章 教学设计</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策略矩阵、案例和验证</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任务、支架、学生作品、量规</w:t>
            </w:r>
          </w:p>
        </w:tc>
      </w:tr>
      <w:tr>
        <w:tc>
          <w:tcPr>
            <w:tcW w:type="dxa" w:w="1814"/>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第7章 结论</w:t>
            </w:r>
          </w:p>
        </w:tc>
        <w:tc>
          <w:tcPr>
            <w:tcW w:type="dxa" w:w="340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回答RQ、贡献、局限</w:t>
            </w:r>
          </w:p>
        </w:tc>
        <w:tc>
          <w:tcPr>
            <w:tcW w:type="dxa" w:w="385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不新增结果</w:t>
            </w:r>
          </w:p>
        </w:tc>
      </w:tr>
    </w:tbl>
    <w:p>
      <w:pPr>
        <w:spacing w:after="0"/>
      </w:pPr>
    </w:p>
    <w:p>
      <w:pPr>
        <w:pStyle w:val="Heading2"/>
        <w:keepNext/>
        <w:spacing w:before="160" w:after="120"/>
      </w:pPr>
      <w:r>
        <w:rPr>
          <w:rFonts w:ascii="Noto Sans CJK SC" w:hAnsi="Noto Sans CJK SC" w:eastAsia="Noto Sans CJK SC"/>
          <w:b/>
          <w:color w:val="323232"/>
          <w:sz w:val="24"/>
        </w:rPr>
        <w:t>7.2 正确写作顺序</w:t>
      </w:r>
    </w:p>
    <w:p>
      <w:pPr>
        <w:spacing w:after="60" w:line="324" w:lineRule="auto"/>
        <w:ind w:left="454" w:hanging="227"/>
      </w:pPr>
      <w:r>
        <w:rPr>
          <w:rFonts w:ascii="Noto Serif CJK SC" w:hAnsi="Noto Serif CJK SC" w:eastAsia="Noto Serif CJK SC"/>
          <w:sz w:val="21"/>
        </w:rPr>
        <w:t xml:space="preserve">1. </w:t>
      </w:r>
      <w:r>
        <w:rPr>
          <w:rFonts w:ascii="Noto Serif CJK SC" w:hAnsi="Noto Serif CJK SC" w:eastAsia="Noto Serif CJK SC"/>
          <w:sz w:val="21"/>
        </w:rPr>
        <w:t>先完成语料和方法</w:t>
      </w:r>
    </w:p>
    <w:p>
      <w:pPr>
        <w:spacing w:after="60" w:line="324" w:lineRule="auto"/>
        <w:ind w:left="454" w:hanging="227"/>
      </w:pPr>
      <w:r>
        <w:rPr>
          <w:rFonts w:ascii="Noto Serif CJK SC" w:hAnsi="Noto Serif CJK SC" w:eastAsia="Noto Serif CJK SC"/>
          <w:sz w:val="21"/>
        </w:rPr>
        <w:t xml:space="preserve">2. </w:t>
      </w:r>
      <w:r>
        <w:rPr>
          <w:rFonts w:ascii="Noto Serif CJK SC" w:hAnsi="Noto Serif CJK SC" w:eastAsia="Noto Serif CJK SC"/>
          <w:sz w:val="21"/>
        </w:rPr>
        <w:t>再完成编码与结果</w:t>
      </w:r>
    </w:p>
    <w:p>
      <w:pPr>
        <w:spacing w:after="60" w:line="324" w:lineRule="auto"/>
        <w:ind w:left="454" w:hanging="227"/>
      </w:pPr>
      <w:r>
        <w:rPr>
          <w:rFonts w:ascii="Noto Serif CJK SC" w:hAnsi="Noto Serif CJK SC" w:eastAsia="Noto Serif CJK SC"/>
          <w:sz w:val="21"/>
        </w:rPr>
        <w:t xml:space="preserve">3. </w:t>
      </w:r>
      <w:r>
        <w:rPr>
          <w:rFonts w:ascii="Noto Serif CJK SC" w:hAnsi="Noto Serif CJK SC" w:eastAsia="Noto Serif CJK SC"/>
          <w:sz w:val="21"/>
        </w:rPr>
        <w:t>再写案例和教学转化</w:t>
      </w:r>
    </w:p>
    <w:p>
      <w:pPr>
        <w:spacing w:after="60" w:line="324" w:lineRule="auto"/>
        <w:ind w:left="454" w:hanging="227"/>
      </w:pPr>
      <w:r>
        <w:rPr>
          <w:rFonts w:ascii="Noto Serif CJK SC" w:hAnsi="Noto Serif CJK SC" w:eastAsia="Noto Serif CJK SC"/>
          <w:sz w:val="21"/>
        </w:rPr>
        <w:t xml:space="preserve">4. </w:t>
      </w:r>
      <w:r>
        <w:rPr>
          <w:rFonts w:ascii="Noto Serif CJK SC" w:hAnsi="Noto Serif CJK SC" w:eastAsia="Noto Serif CJK SC"/>
          <w:sz w:val="21"/>
        </w:rPr>
        <w:t>之后写文献综述和绪论</w:t>
      </w:r>
    </w:p>
    <w:p>
      <w:pPr>
        <w:spacing w:after="60" w:line="324" w:lineRule="auto"/>
        <w:ind w:left="454" w:hanging="227"/>
      </w:pPr>
      <w:r>
        <w:rPr>
          <w:rFonts w:ascii="Noto Serif CJK SC" w:hAnsi="Noto Serif CJK SC" w:eastAsia="Noto Serif CJK SC"/>
          <w:sz w:val="21"/>
        </w:rPr>
        <w:t xml:space="preserve">5. </w:t>
      </w:r>
      <w:r>
        <w:rPr>
          <w:rFonts w:ascii="Noto Serif CJK SC" w:hAnsi="Noto Serif CJK SC" w:eastAsia="Noto Serif CJK SC"/>
          <w:sz w:val="21"/>
        </w:rPr>
        <w:t>最后写摘要、结论和PPT</w:t>
      </w:r>
    </w:p>
    <w:p>
      <w:pPr>
        <w:spacing w:line="360" w:lineRule="auto" w:after="100"/>
        <w:ind w:firstLine="420"/>
        <w:jc w:val="both"/>
      </w:pPr>
      <w:r>
        <w:rPr>
          <w:rFonts w:ascii="Noto Serif CJK SC" w:hAnsi="Noto Serif CJK SC" w:eastAsia="Noto Serif CJK SC"/>
          <w:sz w:val="21"/>
        </w:rPr>
        <w:t>优秀论文通常不是从第一章一路写到最后，而是先把最硬的证据和方法完成，再用绪论与结论准确地包住研究。</w:t>
      </w:r>
    </w:p>
    <w:p>
      <w:pPr>
        <w:pStyle w:val="Heading1"/>
        <w:keepNext/>
        <w:spacing w:before="240" w:after="120"/>
      </w:pPr>
      <w:r>
        <w:rPr>
          <w:rFonts w:ascii="Noto Sans CJK SC" w:hAnsi="Noto Sans CJK SC" w:eastAsia="Noto Sans CJK SC"/>
          <w:b/>
          <w:color w:val="1F4E79"/>
          <w:sz w:val="30"/>
        </w:rPr>
        <w:t>八、可成立的创新点</w:t>
      </w:r>
    </w:p>
    <w:tbl>
      <w:tblPr>
        <w:tblStyle w:val="TableGrid"/>
        <w:tblW w:type="auto" w:w="0"/>
        <w:jc w:val="center"/>
        <w:tblLook w:firstColumn="1" w:firstRow="1" w:lastColumn="0" w:lastRow="0" w:noHBand="0" w:noVBand="1" w:val="04A0"/>
      </w:tblPr>
      <w:tblGrid>
        <w:gridCol w:w="3135"/>
        <w:gridCol w:w="3135"/>
        <w:gridCol w:w="3135"/>
      </w:tblGrid>
      <w:tr>
        <w:tc>
          <w:tcPr>
            <w:tcW w:type="dxa" w:w="1531"/>
            <w:shd w:fill="D9EAF7"/>
            <w:vAlign w:val="center"/>
            <w:tcMar>
              <w:top w:w="100" w:type="dxa"/>
              <w:start w:w="120" w:type="dxa"/>
              <w:bottom w:w="100" w:type="dxa"/>
              <w:end w:w="120" w:type="dxa"/>
            </w:tcMar>
          </w:tcPr>
          <w:p>
            <w:pPr>
              <w:jc w:val="center"/>
            </w:pPr>
            <w:r>
              <w:rPr>
                <w:rFonts w:ascii="Noto Sans CJK SC" w:hAnsi="Noto Sans CJK SC" w:eastAsia="Noto Sans CJK SC"/>
                <w:b/>
                <w:sz w:val="17"/>
              </w:rPr>
              <w:t>创新类型</w:t>
            </w:r>
          </w:p>
        </w:tc>
        <w:tc>
          <w:tcPr>
            <w:tcW w:type="dxa" w:w="4592"/>
            <w:shd w:fill="D9EAF7"/>
            <w:vAlign w:val="center"/>
            <w:tcMar>
              <w:top w:w="100" w:type="dxa"/>
              <w:start w:w="120" w:type="dxa"/>
              <w:bottom w:w="100" w:type="dxa"/>
              <w:end w:w="120" w:type="dxa"/>
            </w:tcMar>
          </w:tcPr>
          <w:p>
            <w:pPr>
              <w:jc w:val="center"/>
            </w:pPr>
            <w:r>
              <w:rPr>
                <w:rFonts w:ascii="Noto Sans CJK SC" w:hAnsi="Noto Sans CJK SC" w:eastAsia="Noto Sans CJK SC"/>
                <w:b/>
                <w:sz w:val="17"/>
              </w:rPr>
              <w:t>建议表述</w:t>
            </w:r>
          </w:p>
        </w:tc>
        <w:tc>
          <w:tcPr>
            <w:tcW w:type="dxa" w:w="2948"/>
            <w:shd w:fill="D9EAF7"/>
            <w:vAlign w:val="center"/>
            <w:tcMar>
              <w:top w:w="100" w:type="dxa"/>
              <w:start w:w="120" w:type="dxa"/>
              <w:bottom w:w="100" w:type="dxa"/>
              <w:end w:w="120" w:type="dxa"/>
            </w:tcMar>
          </w:tcPr>
          <w:p>
            <w:pPr>
              <w:jc w:val="center"/>
            </w:pPr>
            <w:r>
              <w:rPr>
                <w:rFonts w:ascii="Noto Sans CJK SC" w:hAnsi="Noto Sans CJK SC" w:eastAsia="Noto Sans CJK SC"/>
                <w:b/>
                <w:sz w:val="17"/>
              </w:rPr>
              <w:t>成立条件</w:t>
            </w:r>
          </w:p>
        </w:tc>
      </w:tr>
      <w:tr>
        <w:tc>
          <w:tcPr>
            <w:tcW w:type="dxa" w:w="153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方法创新</w:t>
            </w:r>
          </w:p>
        </w:tc>
        <w:tc>
          <w:tcPr>
            <w:tcW w:type="dxa" w:w="459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建立具有操作性定义、正反例和一致性证据的复赛试题科学思维分析框架</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完成理论适配、专家审查和两轮试编码</w:t>
            </w:r>
          </w:p>
        </w:tc>
      </w:tr>
      <w:tr>
        <w:tc>
          <w:tcPr>
            <w:tcW w:type="dxa" w:w="153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数据创新</w:t>
            </w:r>
          </w:p>
        </w:tc>
        <w:tc>
          <w:tcPr>
            <w:tcW w:type="dxa" w:w="459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形成第35—42届复赛小问级结构化语料库</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官方来源、索引和校验记录完整</w:t>
            </w:r>
          </w:p>
        </w:tc>
      </w:tr>
      <w:tr>
        <w:tc>
          <w:tcPr>
            <w:tcW w:type="dxa" w:w="153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分析创新</w:t>
            </w:r>
          </w:p>
        </w:tc>
        <w:tc>
          <w:tcPr>
            <w:tcW w:type="dxa" w:w="459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呈现科学思维维度、结构等级和共现模式</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正式编码与可复现分析</w:t>
            </w:r>
          </w:p>
        </w:tc>
      </w:tr>
      <w:tr>
        <w:tc>
          <w:tcPr>
            <w:tcW w:type="dxa" w:w="153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教学创新</w:t>
            </w:r>
          </w:p>
        </w:tc>
        <w:tc>
          <w:tcPr>
            <w:tcW w:type="dxa" w:w="459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建立结果—问题—策略—任务—评价的教学转化模式</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至少两个完整案例及真实评审/课堂证据</w:t>
            </w:r>
          </w:p>
        </w:tc>
      </w:tr>
      <w:tr>
        <w:tc>
          <w:tcPr>
            <w:tcW w:type="dxa" w:w="153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透明度创新</w:t>
            </w:r>
          </w:p>
        </w:tc>
        <w:tc>
          <w:tcPr>
            <w:tcW w:type="dxa" w:w="4592"/>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提供数据、代码和日志的复现包</w:t>
            </w:r>
          </w:p>
        </w:tc>
        <w:tc>
          <w:tcPr>
            <w:tcW w:type="dxa" w:w="2948"/>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遵守伦理和匿名要求</w:t>
            </w:r>
          </w:p>
        </w:tc>
      </w:tr>
    </w:tbl>
    <w:p>
      <w:pPr>
        <w:spacing w:after="0"/>
      </w:pPr>
    </w:p>
    <w:p>
      <w:pPr>
        <w:spacing w:line="360" w:lineRule="auto" w:after="100"/>
        <w:ind w:firstLine="420"/>
        <w:jc w:val="both"/>
      </w:pPr>
      <w:r>
        <w:rPr>
          <w:rFonts w:ascii="Noto Serif CJK SC" w:hAnsi="Noto Serif CJK SC" w:eastAsia="Noto Serif CJK SC"/>
          <w:sz w:val="21"/>
        </w:rPr>
        <w:t>不要使用“首次”“填补国内空白”“全面揭示”等无法证明的表述。创新点要写成已经完成、能够展示和答辩的实际成果。</w:t>
      </w:r>
    </w:p>
    <w:p>
      <w:pPr>
        <w:pStyle w:val="Heading1"/>
        <w:keepNext/>
        <w:spacing w:before="240" w:after="120"/>
      </w:pPr>
      <w:r>
        <w:rPr>
          <w:rFonts w:ascii="Noto Sans CJK SC" w:hAnsi="Noto Sans CJK SC" w:eastAsia="Noto Sans CJK SC"/>
          <w:b/>
          <w:color w:val="1F4E79"/>
          <w:sz w:val="30"/>
        </w:rPr>
        <w:t>九、优秀论文质量关卡</w:t>
      </w:r>
    </w:p>
    <w:tbl>
      <w:tblPr>
        <w:tblStyle w:val="TableGrid"/>
        <w:tblW w:type="auto" w:w="0"/>
        <w:jc w:val="center"/>
        <w:tblLook w:firstColumn="1" w:firstRow="1" w:lastColumn="0" w:lastRow="0" w:noHBand="0" w:noVBand="1" w:val="04A0"/>
      </w:tblPr>
      <w:tblGrid>
        <w:gridCol w:w="4702"/>
        <w:gridCol w:w="4702"/>
      </w:tblGrid>
      <w:tr>
        <w:tc>
          <w:tcPr>
            <w:tcW w:type="dxa" w:w="1701"/>
            <w:shd w:fill="D9EAF7"/>
            <w:vAlign w:val="center"/>
            <w:tcMar>
              <w:top w:w="100" w:type="dxa"/>
              <w:start w:w="120" w:type="dxa"/>
              <w:bottom w:w="100" w:type="dxa"/>
              <w:end w:w="120" w:type="dxa"/>
            </w:tcMar>
          </w:tcPr>
          <w:p>
            <w:pPr>
              <w:jc w:val="center"/>
            </w:pPr>
            <w:r>
              <w:rPr>
                <w:rFonts w:ascii="Noto Sans CJK SC" w:hAnsi="Noto Sans CJK SC" w:eastAsia="Noto Sans CJK SC"/>
                <w:b/>
                <w:sz w:val="17"/>
              </w:rPr>
              <w:t>关卡</w:t>
            </w:r>
          </w:p>
        </w:tc>
        <w:tc>
          <w:tcPr>
            <w:tcW w:type="dxa" w:w="7370"/>
            <w:shd w:fill="D9EAF7"/>
            <w:vAlign w:val="center"/>
            <w:tcMar>
              <w:top w:w="100" w:type="dxa"/>
              <w:start w:w="120" w:type="dxa"/>
              <w:bottom w:w="100" w:type="dxa"/>
              <w:end w:w="120" w:type="dxa"/>
            </w:tcMar>
          </w:tcPr>
          <w:p>
            <w:pPr>
              <w:jc w:val="center"/>
            </w:pPr>
            <w:r>
              <w:rPr>
                <w:rFonts w:ascii="Noto Sans CJK SC" w:hAnsi="Noto Sans CJK SC" w:eastAsia="Noto Sans CJK SC"/>
                <w:b/>
                <w:sz w:val="17"/>
              </w:rPr>
              <w:t>封关条件</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G0 路线</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题目、研究问题和真实数据来源经导师确认</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G1 语料</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八届试题与答案核验，小问索引可追溯</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G2 框架</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定义、正反例、专家审查和试编码完成</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G3 一致性</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维度和等级一致性达到预设标准或充分解释不足</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G4 结果</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全部表图由脚本重建，分母与样本量核对</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G5 教学</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每项策略有试题证据，真实验证与适用边界明确</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G6 写作</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主张—证据对应，文献逐条核验，摘要与正文一致</w:t>
            </w:r>
          </w:p>
        </w:tc>
      </w:tr>
      <w:tr>
        <w:tc>
          <w:tcPr>
            <w:tcW w:type="dxa" w:w="1701"/>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G7 答辩</w:t>
            </w:r>
          </w:p>
        </w:tc>
        <w:tc>
          <w:tcPr>
            <w:tcW w:type="dxa" w:w="7370"/>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能解释任一关键决定，并现场追溯图表来源</w:t>
            </w:r>
          </w:p>
        </w:tc>
      </w:tr>
    </w:tbl>
    <w:p>
      <w:pPr>
        <w:spacing w:after="0"/>
      </w:pPr>
    </w:p>
    <w:p>
      <w:pPr>
        <w:pStyle w:val="Heading2"/>
        <w:keepNext/>
        <w:spacing w:before="160" w:after="120"/>
      </w:pPr>
      <w:r>
        <w:rPr>
          <w:rFonts w:ascii="Noto Sans CJK SC" w:hAnsi="Noto Sans CJK SC" w:eastAsia="Noto Sans CJK SC"/>
          <w:b/>
          <w:color w:val="323232"/>
          <w:sz w:val="24"/>
        </w:rPr>
        <w:t>9.1 内部评分目标</w:t>
      </w:r>
    </w:p>
    <w:p>
      <w:pPr>
        <w:spacing w:line="360" w:lineRule="auto" w:after="100"/>
        <w:ind w:firstLine="420"/>
        <w:jc w:val="both"/>
      </w:pPr>
      <w:r>
        <w:rPr>
          <w:rFonts w:ascii="Noto Serif CJK SC" w:hAnsi="Noto Serif CJK SC" w:eastAsia="Noto Serif CJK SC"/>
          <w:sz w:val="21"/>
        </w:rPr>
        <w:t>项目内部以90分以上为目标，其中研究设计、数据真实性和分析可复现性是硬门槛。即使语言很漂亮，只要核心数据无法追溯，就不能进入提交阶段。</w:t>
      </w:r>
    </w:p>
    <w:p>
      <w:pPr>
        <w:pStyle w:val="Heading1"/>
        <w:keepNext/>
        <w:spacing w:before="240" w:after="120"/>
      </w:pPr>
      <w:r>
        <w:rPr>
          <w:rFonts w:ascii="Noto Sans CJK SC" w:hAnsi="Noto Sans CJK SC" w:eastAsia="Noto Sans CJK SC"/>
          <w:b/>
          <w:color w:val="1F4E79"/>
          <w:sz w:val="30"/>
        </w:rPr>
        <w:t>十、时间计划与Codex工作流</w:t>
      </w:r>
    </w:p>
    <w:p>
      <w:pPr>
        <w:pStyle w:val="Heading2"/>
        <w:keepNext/>
        <w:spacing w:before="160" w:after="120"/>
      </w:pPr>
      <w:r>
        <w:rPr>
          <w:rFonts w:ascii="Noto Sans CJK SC" w:hAnsi="Noto Sans CJK SC" w:eastAsia="Noto Sans CJK SC"/>
          <w:b/>
          <w:color w:val="323232"/>
          <w:sz w:val="24"/>
        </w:rPr>
        <w:t>10.1 12周高强度计划</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fill="D9EAF7"/>
            <w:vAlign w:val="center"/>
            <w:tcMar>
              <w:top w:w="100" w:type="dxa"/>
              <w:start w:w="120" w:type="dxa"/>
              <w:bottom w:w="100" w:type="dxa"/>
              <w:end w:w="120" w:type="dxa"/>
            </w:tcMar>
          </w:tcPr>
          <w:p>
            <w:pPr>
              <w:jc w:val="center"/>
            </w:pPr>
            <w:r>
              <w:rPr>
                <w:rFonts w:ascii="Noto Sans CJK SC" w:hAnsi="Noto Sans CJK SC" w:eastAsia="Noto Sans CJK SC"/>
                <w:b/>
                <w:sz w:val="17"/>
              </w:rPr>
              <w:t>周次</w:t>
            </w:r>
          </w:p>
        </w:tc>
        <w:tc>
          <w:tcPr>
            <w:tcW w:type="dxa" w:w="4139"/>
            <w:shd w:fill="D9EAF7"/>
            <w:vAlign w:val="center"/>
            <w:tcMar>
              <w:top w:w="100" w:type="dxa"/>
              <w:start w:w="120" w:type="dxa"/>
              <w:bottom w:w="100" w:type="dxa"/>
              <w:end w:w="120" w:type="dxa"/>
            </w:tcMar>
          </w:tcPr>
          <w:p>
            <w:pPr>
              <w:jc w:val="center"/>
            </w:pPr>
            <w:r>
              <w:rPr>
                <w:rFonts w:ascii="Noto Sans CJK SC" w:hAnsi="Noto Sans CJK SC" w:eastAsia="Noto Sans CJK SC"/>
                <w:b/>
                <w:sz w:val="17"/>
              </w:rPr>
              <w:t>核心任务</w:t>
            </w:r>
          </w:p>
        </w:tc>
        <w:tc>
          <w:tcPr>
            <w:tcW w:type="dxa" w:w="3685"/>
            <w:shd w:fill="D9EAF7"/>
            <w:vAlign w:val="center"/>
            <w:tcMar>
              <w:top w:w="100" w:type="dxa"/>
              <w:start w:w="120" w:type="dxa"/>
              <w:bottom w:w="100" w:type="dxa"/>
              <w:end w:w="120" w:type="dxa"/>
            </w:tcMar>
          </w:tcPr>
          <w:p>
            <w:pPr>
              <w:jc w:val="center"/>
            </w:pPr>
            <w:r>
              <w:rPr>
                <w:rFonts w:ascii="Noto Sans CJK SC" w:hAnsi="Noto Sans CJK SC" w:eastAsia="Noto Sans CJK SC"/>
                <w:b/>
                <w:sz w:val="17"/>
              </w:rPr>
              <w:t>交付物</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1</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资料盘点、导师定题、学校规范</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路线决策备忘录</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2—3</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官方试题与文献收集</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语料清单、文献矩阵</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4</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编码手册V1、专家审查</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框架修订记录</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5</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第一轮试编码</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一致性结果与分歧日志</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6</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第二轮试编码、冻结V2</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正式手册</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7—8</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正式双人编码与裁决</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唯一分析表</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9</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统计、图表、典型案例</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结果包</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10</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教师/课堂证据和教学策略</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策略矩阵与案例</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11</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正文合成与主张审计</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完整初稿</w:t>
            </w:r>
          </w:p>
        </w:tc>
      </w:tr>
      <w:tr>
        <w:tc>
          <w:tcPr>
            <w:tcW w:type="dxa" w:w="1247"/>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12</w:t>
            </w:r>
          </w:p>
        </w:tc>
        <w:tc>
          <w:tcPr>
            <w:tcW w:type="dxa" w:w="4139"/>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导师反馈、格式、答辩</w:t>
            </w:r>
          </w:p>
        </w:tc>
        <w:tc>
          <w:tcPr>
            <w:tcW w:type="dxa" w:w="3685"/>
            <w:vAlign w:val="top"/>
            <w:tcMar>
              <w:top w:w="100" w:type="dxa"/>
              <w:start w:w="120" w:type="dxa"/>
              <w:bottom w:w="100" w:type="dxa"/>
              <w:end w:w="120" w:type="dxa"/>
            </w:tcMar>
          </w:tcPr>
          <w:p>
            <w:pPr>
              <w:spacing w:line="276" w:lineRule="auto" w:after="0"/>
            </w:pPr>
            <w:r>
              <w:rPr>
                <w:rFonts w:ascii="Noto Serif CJK SC" w:hAnsi="Noto Serif CJK SC" w:eastAsia="Noto Serif CJK SC"/>
                <w:sz w:val="17"/>
              </w:rPr>
              <w:t>提交版与PPT</w:t>
            </w:r>
          </w:p>
        </w:tc>
      </w:tr>
    </w:tbl>
    <w:p>
      <w:pPr>
        <w:spacing w:after="0"/>
      </w:pPr>
    </w:p>
    <w:p>
      <w:pPr>
        <w:spacing w:line="360" w:lineRule="auto" w:after="100"/>
        <w:ind w:firstLine="420"/>
        <w:jc w:val="both"/>
      </w:pPr>
      <w:r>
        <w:rPr>
          <w:rFonts w:ascii="Noto Serif CJK SC" w:hAnsi="Noto Serif CJK SC" w:eastAsia="Noto Serif CJK SC"/>
          <w:sz w:val="21"/>
        </w:rPr>
        <w:t>如果正式编码、调查或课堂研究尚未开始，12周只能作为高强度参考。真实研究质量优先于赶进度。</w:t>
      </w:r>
    </w:p>
    <w:p>
      <w:pPr>
        <w:pStyle w:val="Heading2"/>
        <w:keepNext/>
        <w:spacing w:before="160" w:after="120"/>
      </w:pPr>
      <w:r>
        <w:rPr>
          <w:rFonts w:ascii="Noto Sans CJK SC" w:hAnsi="Noto Sans CJK SC" w:eastAsia="Noto Sans CJK SC"/>
          <w:b/>
          <w:color w:val="323232"/>
          <w:sz w:val="24"/>
        </w:rPr>
        <w:t>10.2 Codex使用原则</w:t>
      </w:r>
    </w:p>
    <w:p>
      <w:pPr>
        <w:pStyle w:val="ListBullet"/>
        <w:spacing w:after="60" w:line="324" w:lineRule="auto"/>
        <w:ind w:left="425" w:hanging="198"/>
      </w:pPr>
      <w:r>
        <w:rPr>
          <w:rFonts w:ascii="Noto Serif CJK SC" w:hAnsi="Noto Serif CJK SC" w:eastAsia="Noto Serif CJK SC"/>
          <w:sz w:val="21"/>
        </w:rPr>
        <w:t>每次只处理一个任务编号，不让Codex一次性重写整篇论文。</w:t>
      </w:r>
    </w:p>
    <w:p>
      <w:pPr>
        <w:pStyle w:val="ListBullet"/>
        <w:spacing w:after="60" w:line="324" w:lineRule="auto"/>
        <w:ind w:left="425" w:hanging="198"/>
      </w:pPr>
      <w:r>
        <w:rPr>
          <w:rFonts w:ascii="Noto Serif CJK SC" w:hAnsi="Noto Serif CJK SC" w:eastAsia="Noto Serif CJK SC"/>
          <w:sz w:val="21"/>
        </w:rPr>
        <w:t>先给输入文件、输出文件和判断标准，再执行修改。</w:t>
      </w:r>
    </w:p>
    <w:p>
      <w:pPr>
        <w:pStyle w:val="ListBullet"/>
        <w:spacing w:after="60" w:line="324" w:lineRule="auto"/>
        <w:ind w:left="425" w:hanging="198"/>
      </w:pPr>
      <w:r>
        <w:rPr>
          <w:rFonts w:ascii="Noto Serif CJK SC" w:hAnsi="Noto Serif CJK SC" w:eastAsia="Noto Serif CJK SC"/>
          <w:sz w:val="21"/>
        </w:rPr>
        <w:t>所有数据结论必须由脚本生成，Codex不得凭文本补齐。</w:t>
      </w:r>
    </w:p>
    <w:p>
      <w:pPr>
        <w:pStyle w:val="ListBullet"/>
        <w:spacing w:after="60" w:line="324" w:lineRule="auto"/>
        <w:ind w:left="425" w:hanging="198"/>
      </w:pPr>
      <w:r>
        <w:rPr>
          <w:rFonts w:ascii="Noto Serif CJK SC" w:hAnsi="Noto Serif CJK SC" w:eastAsia="Noto Serif CJK SC"/>
          <w:sz w:val="21"/>
        </w:rPr>
        <w:t>文献只处理已经提供或已经下载的全文，不凭记忆编造书目信息。</w:t>
      </w:r>
    </w:p>
    <w:p>
      <w:pPr>
        <w:pStyle w:val="ListBullet"/>
        <w:spacing w:after="60" w:line="324" w:lineRule="auto"/>
        <w:ind w:left="425" w:hanging="198"/>
      </w:pPr>
      <w:r>
        <w:rPr>
          <w:rFonts w:ascii="Noto Serif CJK SC" w:hAnsi="Noto Serif CJK SC" w:eastAsia="Noto Serif CJK SC"/>
          <w:sz w:val="21"/>
        </w:rPr>
        <w:t>每次完成后更新状态、任务、变更日志和主张—证据矩阵。</w:t>
      </w:r>
    </w:p>
    <w:p>
      <w:pPr>
        <w:pStyle w:val="ListBullet"/>
        <w:spacing w:after="60" w:line="324" w:lineRule="auto"/>
        <w:ind w:left="425" w:hanging="198"/>
      </w:pPr>
      <w:r>
        <w:rPr>
          <w:rFonts w:ascii="Noto Serif CJK SC" w:hAnsi="Noto Serif CJK SC" w:eastAsia="Noto Serif CJK SC"/>
          <w:sz w:val="21"/>
        </w:rPr>
        <w:t>通过Git小步提交，保留导师修改和框架演化过程。</w:t>
      </w:r>
    </w:p>
    <w:p>
      <w:pPr>
        <w:pStyle w:val="Heading1"/>
        <w:keepNext/>
        <w:spacing w:before="240" w:after="120"/>
      </w:pPr>
      <w:r>
        <w:rPr>
          <w:rFonts w:ascii="Noto Sans CJK SC" w:hAnsi="Noto Sans CJK SC" w:eastAsia="Noto Sans CJK SC"/>
          <w:b/>
          <w:color w:val="1F4E79"/>
          <w:sz w:val="30"/>
        </w:rPr>
        <w:t>十一、立即执行清单</w:t>
      </w:r>
    </w:p>
    <w:p>
      <w:pPr>
        <w:pStyle w:val="Heading2"/>
        <w:keepNext/>
        <w:spacing w:before="160" w:after="120"/>
      </w:pPr>
      <w:r>
        <w:rPr>
          <w:rFonts w:ascii="Noto Sans CJK SC" w:hAnsi="Noto Sans CJK SC" w:eastAsia="Noto Sans CJK SC"/>
          <w:b/>
          <w:color w:val="323232"/>
          <w:sz w:val="24"/>
        </w:rPr>
        <w:t>第一步：与导师确认的六个问题</w:t>
      </w:r>
    </w:p>
    <w:p>
      <w:pPr>
        <w:spacing w:after="60" w:line="324" w:lineRule="auto"/>
        <w:ind w:left="454" w:hanging="227"/>
      </w:pPr>
      <w:r>
        <w:rPr>
          <w:rFonts w:ascii="Noto Serif CJK SC" w:hAnsi="Noto Serif CJK SC" w:eastAsia="Noto Serif CJK SC"/>
          <w:sz w:val="21"/>
        </w:rPr>
        <w:t xml:space="preserve">1. </w:t>
      </w:r>
      <w:r>
        <w:rPr>
          <w:rFonts w:ascii="Noto Serif CJK SC" w:hAnsi="Noto Serif CJK SC" w:eastAsia="Noto Serif CJK SC"/>
          <w:sz w:val="21"/>
        </w:rPr>
        <w:t>最终采用题目A、B还是保留原题？</w:t>
      </w:r>
    </w:p>
    <w:p>
      <w:pPr>
        <w:spacing w:after="60" w:line="324" w:lineRule="auto"/>
        <w:ind w:left="454" w:hanging="227"/>
      </w:pPr>
      <w:r>
        <w:rPr>
          <w:rFonts w:ascii="Noto Serif CJK SC" w:hAnsi="Noto Serif CJK SC" w:eastAsia="Noto Serif CJK SC"/>
          <w:sz w:val="21"/>
        </w:rPr>
        <w:t xml:space="preserve">2. </w:t>
      </w:r>
      <w:r>
        <w:rPr>
          <w:rFonts w:ascii="Noto Serif CJK SC" w:hAnsi="Noto Serif CJK SC" w:eastAsia="Noto Serif CJK SC"/>
          <w:sz w:val="21"/>
        </w:rPr>
        <w:t>问卷是否真实发放过，是否有原始数据？</w:t>
      </w:r>
    </w:p>
    <w:p>
      <w:pPr>
        <w:spacing w:after="60" w:line="324" w:lineRule="auto"/>
        <w:ind w:left="454" w:hanging="227"/>
      </w:pPr>
      <w:r>
        <w:rPr>
          <w:rFonts w:ascii="Noto Serif CJK SC" w:hAnsi="Noto Serif CJK SC" w:eastAsia="Noto Serif CJK SC"/>
          <w:sz w:val="21"/>
        </w:rPr>
        <w:t xml:space="preserve">3. </w:t>
      </w:r>
      <w:r>
        <w:rPr>
          <w:rFonts w:ascii="Noto Serif CJK SC" w:hAnsi="Noto Serif CJK SC" w:eastAsia="Noto Serif CJK SC"/>
          <w:sz w:val="21"/>
        </w:rPr>
        <w:t>教学实验是否真实实施，是否有前后测、学生作品和课堂日志？</w:t>
      </w:r>
    </w:p>
    <w:p>
      <w:pPr>
        <w:spacing w:after="60" w:line="324" w:lineRule="auto"/>
        <w:ind w:left="454" w:hanging="227"/>
      </w:pPr>
      <w:r>
        <w:rPr>
          <w:rFonts w:ascii="Noto Serif CJK SC" w:hAnsi="Noto Serif CJK SC" w:eastAsia="Noto Serif CJK SC"/>
          <w:sz w:val="21"/>
        </w:rPr>
        <w:t xml:space="preserve">4. </w:t>
      </w:r>
      <w:r>
        <w:rPr>
          <w:rFonts w:ascii="Noto Serif CJK SC" w:hAnsi="Noto Serif CJK SC" w:eastAsia="Noto Serif CJK SC"/>
          <w:sz w:val="21"/>
        </w:rPr>
        <w:t>第35—42届官方试题与答案是否已收集齐？</w:t>
      </w:r>
    </w:p>
    <w:p>
      <w:pPr>
        <w:spacing w:after="60" w:line="324" w:lineRule="auto"/>
        <w:ind w:left="454" w:hanging="227"/>
      </w:pPr>
      <w:r>
        <w:rPr>
          <w:rFonts w:ascii="Noto Serif CJK SC" w:hAnsi="Noto Serif CJK SC" w:eastAsia="Noto Serif CJK SC"/>
          <w:sz w:val="21"/>
        </w:rPr>
        <w:t xml:space="preserve">5. </w:t>
      </w:r>
      <w:r>
        <w:rPr>
          <w:rFonts w:ascii="Noto Serif CJK SC" w:hAnsi="Noto Serif CJK SC" w:eastAsia="Noto Serif CJK SC"/>
          <w:sz w:val="21"/>
        </w:rPr>
        <w:t>学校要求使用何种论文模板和参考文献格式？</w:t>
      </w:r>
    </w:p>
    <w:p>
      <w:pPr>
        <w:spacing w:after="60" w:line="324" w:lineRule="auto"/>
        <w:ind w:left="454" w:hanging="227"/>
      </w:pPr>
      <w:r>
        <w:rPr>
          <w:rFonts w:ascii="Noto Serif CJK SC" w:hAnsi="Noto Serif CJK SC" w:eastAsia="Noto Serif CJK SC"/>
          <w:sz w:val="21"/>
        </w:rPr>
        <w:t xml:space="preserve">6. </w:t>
      </w:r>
      <w:r>
        <w:rPr>
          <w:rFonts w:ascii="Noto Serif CJK SC" w:hAnsi="Noto Serif CJK SC" w:eastAsia="Noto Serif CJK SC"/>
          <w:sz w:val="21"/>
        </w:rPr>
        <w:t>导师是否接受以设计型研究替代弱准实验？</w:t>
      </w:r>
    </w:p>
    <w:p>
      <w:pPr>
        <w:pStyle w:val="Heading2"/>
        <w:keepNext/>
        <w:spacing w:before="160" w:after="120"/>
      </w:pPr>
      <w:r>
        <w:rPr>
          <w:rFonts w:ascii="Noto Sans CJK SC" w:hAnsi="Noto Sans CJK SC" w:eastAsia="Noto Sans CJK SC"/>
          <w:b/>
          <w:color w:val="323232"/>
          <w:sz w:val="24"/>
        </w:rPr>
        <w:t>第二步：第一条Codex任务</w:t>
      </w:r>
    </w:p>
    <w:p>
      <w:pPr>
        <w:spacing w:line="360" w:lineRule="auto" w:after="100"/>
        <w:ind w:firstLine="420"/>
        <w:jc w:val="both"/>
      </w:pPr>
      <w:r>
        <w:rPr>
          <w:rFonts w:ascii="Noto Serif CJK SC" w:hAnsi="Noto Serif CJK SC" w:eastAsia="Noto Serif CJK SC"/>
          <w:sz w:val="21"/>
        </w:rPr>
        <w:t>解压项目后，打开整个文件夹，把 `prompts/00_codex_start.md` 交给Codex。第一项任务只做真实资料盘点和路线评估，不写论文正文。</w:t>
      </w:r>
    </w:p>
    <w:p>
      <w:pPr>
        <w:pStyle w:val="Heading2"/>
        <w:keepNext/>
        <w:spacing w:before="160" w:after="120"/>
      </w:pPr>
      <w:r>
        <w:rPr>
          <w:rFonts w:ascii="Noto Sans CJK SC" w:hAnsi="Noto Sans CJK SC" w:eastAsia="Noto Sans CJK SC"/>
          <w:b/>
          <w:color w:val="323232"/>
          <w:sz w:val="24"/>
        </w:rPr>
        <w:t>第三步：必须准备的材料</w:t>
      </w:r>
    </w:p>
    <w:p>
      <w:pPr>
        <w:pStyle w:val="ListBullet"/>
        <w:spacing w:after="60" w:line="324" w:lineRule="auto"/>
        <w:ind w:left="425" w:hanging="198"/>
      </w:pPr>
      <w:r>
        <w:rPr>
          <w:rFonts w:ascii="Noto Serif CJK SC" w:hAnsi="Noto Serif CJK SC" w:eastAsia="Noto Serif CJK SC"/>
          <w:sz w:val="21"/>
        </w:rPr>
        <w:t>学校论文模板与优秀论文评审标准；</w:t>
      </w:r>
    </w:p>
    <w:p>
      <w:pPr>
        <w:pStyle w:val="ListBullet"/>
        <w:spacing w:after="60" w:line="324" w:lineRule="auto"/>
        <w:ind w:left="425" w:hanging="198"/>
      </w:pPr>
      <w:r>
        <w:rPr>
          <w:rFonts w:ascii="Noto Serif CJK SC" w:hAnsi="Noto Serif CJK SC" w:eastAsia="Noto Serif CJK SC"/>
          <w:sz w:val="21"/>
        </w:rPr>
        <w:t>第35—42届官方复赛试题及答案；</w:t>
      </w:r>
    </w:p>
    <w:p>
      <w:pPr>
        <w:pStyle w:val="ListBullet"/>
        <w:spacing w:after="60" w:line="324" w:lineRule="auto"/>
        <w:ind w:left="425" w:hanging="198"/>
      </w:pPr>
      <w:r>
        <w:rPr>
          <w:rFonts w:ascii="Noto Serif CJK SC" w:hAnsi="Noto Serif CJK SC" w:eastAsia="Noto Serif CJK SC"/>
          <w:sz w:val="21"/>
        </w:rPr>
        <w:t>已经阅读或导师指定的核心文献；</w:t>
      </w:r>
    </w:p>
    <w:p>
      <w:pPr>
        <w:pStyle w:val="ListBullet"/>
        <w:spacing w:after="60" w:line="324" w:lineRule="auto"/>
        <w:ind w:left="425" w:hanging="198"/>
      </w:pPr>
      <w:r>
        <w:rPr>
          <w:rFonts w:ascii="Noto Serif CJK SC" w:hAnsi="Noto Serif CJK SC" w:eastAsia="Noto Serif CJK SC"/>
          <w:sz w:val="21"/>
        </w:rPr>
        <w:t>真实问卷、访谈、课堂或前后测材料；</w:t>
      </w:r>
    </w:p>
    <w:p>
      <w:pPr>
        <w:pStyle w:val="ListBullet"/>
        <w:spacing w:after="60" w:line="324" w:lineRule="auto"/>
        <w:ind w:left="425" w:hanging="198"/>
      </w:pPr>
      <w:r>
        <w:rPr>
          <w:rFonts w:ascii="Noto Serif CJK SC" w:hAnsi="Noto Serif CJK SC" w:eastAsia="Noto Serif CJK SC"/>
          <w:sz w:val="21"/>
        </w:rPr>
        <w:t>导师已有修改意见；</w:t>
      </w:r>
    </w:p>
    <w:p>
      <w:pPr>
        <w:pStyle w:val="ListBullet"/>
        <w:spacing w:after="60" w:line="324" w:lineRule="auto"/>
        <w:ind w:left="425" w:hanging="198"/>
      </w:pPr>
      <w:r>
        <w:rPr>
          <w:rFonts w:ascii="Noto Serif CJK SC" w:hAnsi="Noto Serif CJK SC" w:eastAsia="Noto Serif CJK SC"/>
          <w:sz w:val="21"/>
        </w:rPr>
        <w:t>最终提交时间与中期节点。</w:t>
      </w:r>
    </w:p>
    <w:p>
      <w:pPr>
        <w:pStyle w:val="Heading1"/>
        <w:keepNext/>
        <w:spacing w:before="240" w:after="120"/>
      </w:pPr>
      <w:r>
        <w:rPr>
          <w:rFonts w:ascii="Noto Sans CJK SC" w:hAnsi="Noto Sans CJK SC" w:eastAsia="Noto Sans CJK SC"/>
          <w:b/>
          <w:color w:val="1F4E79"/>
          <w:sz w:val="30"/>
        </w:rPr>
        <w:t>结语</w:t>
      </w:r>
    </w:p>
    <w:p>
      <w:pPr>
        <w:spacing w:line="360" w:lineRule="auto" w:after="100"/>
        <w:ind w:firstLine="420"/>
        <w:jc w:val="both"/>
      </w:pPr>
      <w:r>
        <w:rPr>
          <w:rFonts w:ascii="Noto Serif CJK SC" w:hAnsi="Noto Serif CJK SC" w:eastAsia="Noto Serif CJK SC"/>
          <w:sz w:val="21"/>
        </w:rPr>
        <w:t>争取优秀毕业论文的关键不是把初稿包装得更像论文，而是让每一个核心结论都能回到真实试题、真实编码、真实教师或课堂证据。只要研究范围控制得当，先把语料、框架和分析做扎实，再用完整的教学转化形成贡献，这个选题具备做出高质量硕士论文的潜力。</w:t>
      </w:r>
    </w:p>
    <w:sectPr w:rsidR="00FC693F" w:rsidRPr="0006063C" w:rsidSect="00034616">
      <w:headerReference w:type="default" r:id="rId9"/>
      <w:footerReference w:type="default" r:id="rId10"/>
      <w:pgSz w:w="12240" w:h="15840"/>
      <w:pgMar w:top="1361" w:right="1361" w:bottom="1304"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E6E6E"/>
        <w:sz w:val="17"/>
      </w:rPr>
      <w:t>优秀硕士论文重建总方案｜物理竞赛科学思维研究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