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V12</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对自由作答的研究也以学生书面作答中的可见证据为编码对象，而非仅凭题目文字推定学生已经具备某种思维技能。[引文占位：ST-002、ST-003、ST-015；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引文占位：ST-014；支持分析单位与图件边界的报告原则；不采用VBT/Bloom类别]</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r>
        <w:rPr>
          <w:rFonts w:ascii="Arial Unicode MS" w:hAnsi="Arial Unicode MS" w:eastAsia="Arial Unicode MS"/>
          <w:b w:val="0"/>
          <w:sz w:val="24"/>
        </w:rPr>
        <w:t>对于两名评分者的分类记录，原始一致率呈现直接观察到的同判比例，kappa类指标则尝试校正机会一致；两者均须结合比较数、类别分布和评分者独立性假定解释。故本项目同时保留原始一致与kappa类统计，并将评分过程只能按自声明登记的限制写入方法边界；这些统计不构成框架效度或评分过程独立性的证明。[引文占位：METH-007；支持原始一致与kappa并列报告及其解释限制；不采用医疗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15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Al-Salmani F, Thacker B. Rubric for assessing thinking skills in free-response exam problems[J]. Physical Review Physics Education Research, 2021, 17(1): 010135. DOI:10.1103/PhysRevPhysEducRes.17.010135.</w:t>
      </w:r>
    </w:p>
    <w:p>
      <w:pPr>
        <w:spacing w:lineRule="exact" w:line="400"/>
        <w:ind w:left="420" w:hanging="420"/>
      </w:pPr>
      <w:r>
        <w:rPr>
          <w:rFonts w:ascii="Arial Unicode MS" w:hAnsi="Arial Unicode MS" w:eastAsia="Arial Unicode MS"/>
          <w:b w:val="0"/>
          <w:sz w:val="21"/>
        </w:rPr>
        <w:t>[8]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[9]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Arial Unicode MS" w:hAnsi="Arial Unicode MS" w:eastAsia="Arial Unicode MS"/>
          <w:b w:val="0"/>
          <w:sz w:val="21"/>
        </w:rPr>
        <w:t>[10] McHugh M L. Interrater reliability: The kappa statistic[J]. Biochemia Medica, 2012, 22(3): 276-282. DOI:10.11613/BM.2012.031.</w:t>
      </w:r>
    </w:p>
    <w:p>
      <w:pPr>
        <w:spacing w:lineRule="exact" w:line="400"/>
        <w:ind w:left="420" w:hanging="420"/>
      </w:pPr>
      <w:r>
        <w:rPr>
          <w:rFonts w:ascii="Arial Unicode MS" w:hAnsi="Arial Unicode MS" w:eastAsia="Arial Unicode MS"/>
          <w:b w:val="0"/>
          <w:sz w:val="21"/>
        </w:rPr>
        <w:t>[11]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[12]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[13]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[14]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[15]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