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V2</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生成日期：2026-07-24</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先收束到当前资料能够支持的范围内。除课程标准科学思维要素和项目已经完成的语料整理事实外，文献综述、研究空白、正式结果、教师证据和课堂效果仍需后续核验。本章不得被理解为已经完成正式统计、专家审查、双评分者一致性检验或教学验证。</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项目研究设想看，复赛试题分析不宜只停留在知识点、题型或难度描述，还需要关注试题实际要求学生完成的认知活动：如何抽象物理模型，如何组织条件链，如何说明边界条件，如何在陌生情境中迁移或修正已有模型。因此，本研究拟从科学思维维度和任务认知结构要求两个层面分析复赛试题。该判断仍需在正式编码和文献综述完成后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当前包含219个分析单元，03_corpus/manual_review_checklist.csv 同时列出154条正式编码前需人工校对的问题。也就是说，研究对象和基本语料范围已经具备，但正式统计结果尚未形成。后续结论必须等待人工校对、真实评分者独立编码、分歧裁决和脚本复现完成后再写入。</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上述问题中，第2至第4个问题必须等待真实评分者编码、分歧裁决和正式分析表完成后才能作答。第5个问题若没有真实教师或课堂证据，只能回答“如何设计”，不能回答“是否有效”。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拟包括五部分。第一，建立复赛试题小问级语料库，明确分析单位、题号、小问、页码、知识模块、情境、表征和数学工具等元数据。第二，基于课程标准、SOLO启发等级和内容分析方法，形成科学思维维度与任务认知结构等级的编码框架。第三，在正式阶段组织评分者培训、独立编码、一致性计算和分歧裁决，生成唯一正式分析表；其中一致性报告应按变量说明样本、指标选择和分歧处理。[引文占位：METH-004；支持一致性报告字段；不替代真实评分者数据] 第四，基于正式分析表生成维度分布、等级分布、共现关系、分组比较和典型机制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目前仍应写作“创新候选”或“预期贡献”，不能提前写作已经实现的创新。尤其是分析工具创新必须等待正式编码手册、真实评分者一致性和分歧裁决支持；数据产品创新必须等待人工校对和正式分析表完成；教学转化创新必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拟从科学思维维度和任务认知结构要求两个层面开展内容分析，并将结果转化为教学设计建议。当前不能确定的是：正式维度分布、等级分布、届次差异、教学效果和专家或教师认可。</w:t>
      </w:r>
    </w:p>
    <w:p>
      <w:r>
        <w:rPr>
          <w:rFonts w:ascii="Arial Unicode MS" w:hAnsi="Arial Unicode MS" w:eastAsia="Arial Unicode MS"/>
          <w:b w:val="0"/>
          <w:sz w:val="24"/>
        </w:rPr>
        <w:t>当前草稿后续章节将按“理论框架、研究设计、结果占位、案例候选、教学转化证据准备”的顺序推进。所有结果性表述均需回到原始语料、正式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但该设计仍需真实评分者一致性和分歧裁决结果支持，才能写成正式方法贡献。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正式评分者独立编码和一致性检验</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分歧裁决和正式手册冻结</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唯一裁决后分析表</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正式文本中，维度和等级的每一项定义都应配套三类材料：理论来源、操作定义、正反例或边界例。当前只有内部操作定义相对完整，理论来源和真实评分者证据仍待补足。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该框架图当前表达的是研究设计逻辑，不是已经完成的证据链。图中涉及正式编码、教师证据和课堂证据的节点仍处于待完成状态。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语料整理过程中已形成 03_corpus/manual_review_checklist.csv，列出154条正式编码前需人工校对的问题，主要涉及OCR文本、公式与特殊符号、题图裁边与图注以及第35届分值边界复核。上述问题不影响当前研究材料包的结构化整理，但会影响正式编码前对题干、解答步骤和证据句的最终确认。因此，正式统计前必须完成或明确标记这些问题的处理状态。</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正式编码流程和质量控制方案。当前项目已经完成语料库、内部编码手册、内部试编码、正式编码前复核包和评分者交接准备，但尚未完成真实双评分者编码和正式分歧裁决。因此，下一章只能作为正式结果章的占位和证据边界说明，不能替代最终实证结果。</w:t>
      </w:r>
    </w:p>
    <w:p>
      <w:r>
        <w:rPr>
          <w:rFonts w:ascii="Arial Unicode MS" w:hAnsi="Arial Unicode MS" w:eastAsia="Arial Unicode MS"/>
          <w:b w:val="0"/>
          <w:sz w:val="24"/>
        </w:rPr>
        <w:t>在人工终核真实回填、正式A/B评分者记录和裁决后唯一分析表形成前，第4章应保持占位版，不应提前生成结论性段落。</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