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生成日期：2026-07-24</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先收束到当前资料能够支持的范围内。除课程标准科学思维要素和项目已经完成的语料整理事实外，文献综述、研究空白、正式结果、教师证据和课堂效果仍需后续核验。本章不得被理解为已经完成正式统计、专家审查、双评分者一致性检验或教学验证。</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项目研究设想看，复赛试题分析不宜只停留在知识点、题型或难度描述，还需要关注试题实际要求学生完成的认知活动：如何抽象物理模型，如何组织条件链，如何说明边界条件，如何在陌生情境中迁移或修正已有模型。因此，本研究拟从科学思维维度和任务认知结构要求两个层面分析复赛试题。该判断仍需在正式编码和文献综述完成后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当前包含219个分析单元，03_corpus/manual_review_checklist.csv 同时列出154条正式编码前需人工校对的问题。也就是说，研究对象和基本语料范围已经具备，但正式统计结果尚未形成。后续结论必须等待人工校对、真实评分者独立编码、分歧裁决和脚本复现完成后再写入。</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上述问题中，第2至第4个问题必须等待真实评分者编码、分歧裁决和正式分析表完成后才能作答。第5个问题若没有真实教师或课堂证据，只能回答“如何设计”，不能回答“是否有效”。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拟包括五部分。第一，建立复赛试题小问级语料库，明确分析单位、题号、小问、页码、知识模块、情境、表征和数学工具等元数据。第二，基于课程标准、SOLO启发等级和内容分析方法，形成科学思维维度与任务认知结构等级的编码框架。第三，在正式阶段组织评分者培训、独立编码、一致性计算和分歧裁决，生成唯一正式分析表；其中一致性报告应按变量说明样本、指标选择和分歧处理。[引文占位：METH-004；支持一致性报告字段；不替代真实评分者数据] 第四，基于正式分析表生成维度分布、等级分布、共现关系、分组比较和典型机制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r>
        <w:rPr>
          <w:rFonts w:ascii="Arial Unicode MS" w:hAnsi="Arial Unicode MS" w:eastAsia="Arial Unicode MS"/>
          <w:b w:val="0"/>
          <w:sz w:val="24"/>
        </w:rPr>
        <w:t>mermaid</w:t>
      </w:r>
    </w:p>
    <w:p>
      <w:r>
        <w:rPr>
          <w:rFonts w:ascii="Arial Unicode MS" w:hAnsi="Arial Unicode MS" w:eastAsia="Arial Unicode MS"/>
          <w:b w:val="0"/>
          <w:sz w:val="24"/>
        </w:rPr>
        <w:t>flowchart TD</w:t>
      </w:r>
    </w:p>
    <w:p>
      <w:r>
        <w:rPr>
          <w:rFonts w:ascii="Arial Unicode MS" w:hAnsi="Arial Unicode MS" w:eastAsia="Arial Unicode MS"/>
          <w:b w:val="0"/>
          <w:sz w:val="24"/>
        </w:rPr>
        <w:t>A["第35至42届复赛试题与参考答案"] --&gt; B["小问级语料库&lt;br/&gt;219个分析单元"]</w:t>
      </w:r>
    </w:p>
    <w:p>
      <w:r>
        <w:rPr>
          <w:rFonts w:ascii="Arial Unicode MS" w:hAnsi="Arial Unicode MS" w:eastAsia="Arial Unicode MS"/>
          <w:b w:val="0"/>
          <w:sz w:val="24"/>
        </w:rPr>
        <w:t>B --&gt; C["人工校对与风险销项&lt;br/&gt;当前154条待核"]</w:t>
      </w:r>
    </w:p>
    <w:p>
      <w:r>
        <w:rPr>
          <w:rFonts w:ascii="Arial Unicode MS" w:hAnsi="Arial Unicode MS" w:eastAsia="Arial Unicode MS"/>
          <w:b w:val="0"/>
          <w:sz w:val="24"/>
        </w:rPr>
        <w:t>C --&gt; D["科学思维维度与SOLO启发的任务认知结构要求等级框架"]</w:t>
      </w:r>
    </w:p>
    <w:p>
      <w:r>
        <w:rPr>
          <w:rFonts w:ascii="Arial Unicode MS" w:hAnsi="Arial Unicode MS" w:eastAsia="Arial Unicode MS"/>
          <w:b w:val="0"/>
          <w:sz w:val="24"/>
        </w:rPr>
        <w:t>D --&gt; E["评分者A/B独立编码&lt;br/&gt;尚未开始"]</w:t>
      </w:r>
    </w:p>
    <w:p>
      <w:r>
        <w:rPr>
          <w:rFonts w:ascii="Arial Unicode MS" w:hAnsi="Arial Unicode MS" w:eastAsia="Arial Unicode MS"/>
          <w:b w:val="0"/>
          <w:sz w:val="24"/>
        </w:rPr>
        <w:t>E --&gt; F["一致性计算与分歧裁决&lt;br/&gt;尚未完成"]</w:t>
      </w:r>
    </w:p>
    <w:p>
      <w:r>
        <w:rPr>
          <w:rFonts w:ascii="Arial Unicode MS" w:hAnsi="Arial Unicode MS" w:eastAsia="Arial Unicode MS"/>
          <w:b w:val="0"/>
          <w:sz w:val="24"/>
        </w:rPr>
        <w:t>F --&gt; G["唯一正式分析表与脚本输出"]</w:t>
      </w:r>
    </w:p>
    <w:p>
      <w:r>
        <w:rPr>
          <w:rFonts w:ascii="Arial Unicode MS" w:hAnsi="Arial Unicode MS" w:eastAsia="Arial Unicode MS"/>
          <w:b w:val="0"/>
          <w:sz w:val="24"/>
        </w:rPr>
        <w:t>G --&gt; H["分布、共现、分组比较与典型机制"]</w:t>
      </w:r>
    </w:p>
    <w:p>
      <w:r>
        <w:rPr>
          <w:rFonts w:ascii="Arial Unicode MS" w:hAnsi="Arial Unicode MS" w:eastAsia="Arial Unicode MS"/>
          <w:b w:val="0"/>
          <w:sz w:val="24"/>
        </w:rPr>
        <w:t>H --&gt; I["结果—问题—策略—任务—评价教学转化"]</w:t>
      </w:r>
    </w:p>
    <w:p>
      <w:r>
        <w:rPr>
          <w:rFonts w:ascii="Arial Unicode MS" w:hAnsi="Arial Unicode MS" w:eastAsia="Arial Unicode MS"/>
          <w:b w:val="0"/>
          <w:sz w:val="24"/>
        </w:rPr>
        <w:t>I --&gt; J["教师证据或课堂迭代&lt;br/&gt;条件性补充"]</w:t>
      </w:r>
    </w:p>
    <w:p>
      <w:r>
        <w:rPr>
          <w:rFonts w:ascii="Arial Unicode MS" w:hAnsi="Arial Unicode MS" w:eastAsia="Arial Unicode MS"/>
          <w:b w:val="0"/>
          <w:sz w:val="24"/>
        </w:rPr>
      </w:r>
    </w:p>
    <w:p>
      <w:r>
        <w:rPr>
          <w:rFonts w:ascii="Arial Unicode MS" w:hAnsi="Arial Unicode MS" w:eastAsia="Arial Unicode MS"/>
          <w:b w:val="0"/>
          <w:sz w:val="24"/>
        </w:rPr>
        <w:t>当前已经完成的是语料整理、内部编码准备、正式评分者模板和交接包冻结；尚未完成的是人工校对销项、真实评分者编码、一致性检验、分歧裁决、正式结果表和真实教学验证。</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目前仍应写作“创新候选”或“预期贡献”，不能提前写作已经实现的创新。尤其是分析工具创新必须等待正式编码手册、真实评分者一致性和分歧裁决支持；数据产品创新必须等待人工校对和正式分析表完成；教学转化创新必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拟从科学思维维度和任务认知结构要求两个层面开展内容分析，并将结果转化为教学设计建议。当前不能确定的是：正式维度分布、等级分布、届次差异、教学效果和专家或教师认可。</w:t>
      </w:r>
    </w:p>
    <w:p>
      <w:r>
        <w:rPr>
          <w:rFonts w:ascii="Arial Unicode MS" w:hAnsi="Arial Unicode MS" w:eastAsia="Arial Unicode MS"/>
          <w:b w:val="0"/>
          <w:sz w:val="24"/>
        </w:rPr>
        <w:t>当前草稿后续章节将按“理论框架、研究设计、结果占位、案例候选、教学转化证据准备”的顺序推进。所有结果性表述均需回到原始语料、正式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但该设计仍需真实评分者一致性和分歧裁决结果支持，才能写成正式方法贡献。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正式评分者独立编码和一致性检验</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分歧裁决和正式手册冻结</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唯一裁决后分析表</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正式文本中，维度和等级的每一项定义都应配套三类材料：理论来源、操作定义、正反例或边界例。当前只有内部操作定义相对完整，理论来源和真实评分者证据仍待补足。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r>
        <w:rPr>
          <w:rFonts w:ascii="Arial Unicode MS" w:hAnsi="Arial Unicode MS" w:eastAsia="Arial Unicode MS"/>
          <w:b w:val="0"/>
          <w:sz w:val="24"/>
        </w:rPr>
        <w:t>mermaid</w:t>
      </w:r>
    </w:p>
    <w:p>
      <w:r>
        <w:rPr>
          <w:rFonts w:ascii="Arial Unicode MS" w:hAnsi="Arial Unicode MS" w:eastAsia="Arial Unicode MS"/>
          <w:b w:val="0"/>
          <w:sz w:val="24"/>
        </w:rPr>
        <w:t>flowchart TD</w:t>
      </w:r>
    </w:p>
    <w:p>
      <w:r>
        <w:rPr>
          <w:rFonts w:ascii="Arial Unicode MS" w:hAnsi="Arial Unicode MS" w:eastAsia="Arial Unicode MS"/>
          <w:b w:val="0"/>
          <w:sz w:val="24"/>
        </w:rPr>
        <w:t>A["课程标准与科学思维文献&lt;br/&gt;CS-001；ST-002/ST-003边界性引用"] --&gt; B["科学思维四维度&lt;br/&gt;模型建构、科学推理、科学论证、质疑创新"]</w:t>
      </w:r>
    </w:p>
    <w:p>
      <w:r>
        <w:rPr>
          <w:rFonts w:ascii="Arial Unicode MS" w:hAnsi="Arial Unicode MS" w:eastAsia="Arial Unicode MS"/>
          <w:b w:val="0"/>
          <w:sz w:val="24"/>
        </w:rPr>
        <w:t>C["SOLO理论及任务分析文献&lt;br/&gt;[待补核验文献]"] --&gt; D["任务认知结构要求等级&lt;br/&gt;L1至L4"]</w:t>
      </w:r>
    </w:p>
    <w:p>
      <w:r>
        <w:rPr>
          <w:rFonts w:ascii="Arial Unicode MS" w:hAnsi="Arial Unicode MS" w:eastAsia="Arial Unicode MS"/>
          <w:b w:val="0"/>
          <w:sz w:val="24"/>
        </w:rPr>
        <w:t>B --&gt; E["小问级两层编码框架&lt;br/&gt;维度存在性 + 结构等级"]</w:t>
      </w:r>
    </w:p>
    <w:p>
      <w:r>
        <w:rPr>
          <w:rFonts w:ascii="Arial Unicode MS" w:hAnsi="Arial Unicode MS" w:eastAsia="Arial Unicode MS"/>
          <w:b w:val="0"/>
          <w:sz w:val="24"/>
        </w:rPr>
        <w:t>D --&gt; E</w:t>
      </w:r>
    </w:p>
    <w:p>
      <w:r>
        <w:rPr>
          <w:rFonts w:ascii="Arial Unicode MS" w:hAnsi="Arial Unicode MS" w:eastAsia="Arial Unicode MS"/>
          <w:b w:val="0"/>
          <w:sz w:val="24"/>
        </w:rPr>
        <w:t>E --&gt; F["第35至42届复赛试题语料库&lt;br/&gt;219个分析单元"]</w:t>
      </w:r>
    </w:p>
    <w:p>
      <w:r>
        <w:rPr>
          <w:rFonts w:ascii="Arial Unicode MS" w:hAnsi="Arial Unicode MS" w:eastAsia="Arial Unicode MS"/>
          <w:b w:val="0"/>
          <w:sz w:val="24"/>
        </w:rPr>
        <w:t>F --&gt; G["正式编码、分歧裁决与唯一分析表&lt;br/&gt;[待真实评分者完成]"]</w:t>
      </w:r>
    </w:p>
    <w:p>
      <w:r>
        <w:rPr>
          <w:rFonts w:ascii="Arial Unicode MS" w:hAnsi="Arial Unicode MS" w:eastAsia="Arial Unicode MS"/>
          <w:b w:val="0"/>
          <w:sz w:val="24"/>
        </w:rPr>
        <w:t>G --&gt; H["分布、共现、分组比较与典型机制"]</w:t>
      </w:r>
    </w:p>
    <w:p>
      <w:r>
        <w:rPr>
          <w:rFonts w:ascii="Arial Unicode MS" w:hAnsi="Arial Unicode MS" w:eastAsia="Arial Unicode MS"/>
          <w:b w:val="0"/>
          <w:sz w:val="24"/>
        </w:rPr>
        <w:t>H --&gt; I["结果—问题—策略—任务—评价教学转化链&lt;br/&gt;ST-005/ST-006作设计参照；待教师或课堂证据"]</w:t>
      </w:r>
    </w:p>
    <w:p>
      <w:r>
        <w:rPr>
          <w:rFonts w:ascii="Arial Unicode MS" w:hAnsi="Arial Unicode MS" w:eastAsia="Arial Unicode MS"/>
          <w:b w:val="0"/>
          <w:sz w:val="24"/>
        </w:rPr>
      </w:r>
    </w:p>
    <w:p>
      <w:r>
        <w:rPr>
          <w:rFonts w:ascii="Arial Unicode MS" w:hAnsi="Arial Unicode MS" w:eastAsia="Arial Unicode MS"/>
          <w:b w:val="0"/>
          <w:sz w:val="24"/>
        </w:rPr>
        <w:t>该框架图当前表达的是研究设计逻辑，不是已经完成的证据链。图中涉及正式编码、教师证据和课堂证据的节点仍处于待完成状态。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语料整理过程中已形成 03_corpus/manual_review_checklist.csv，列出154条正式编码前需人工校对的问题，主要涉及OCR文本、公式与特殊符号、题图裁边与图注以及第35届分值边界复核。上述问题不影响当前研究材料包的结构化整理，但会影响正式编码前对题干、解答步骤和证据句的最终确认。因此，正式统计前必须完成或明确标记这些问题的处理状态。</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正式编码流程和质量控制方案。当前项目已经完成语料库、内部编码手册、内部试编码、正式编码前复核包和评分者交接准备，但尚未完成真实双评分者编码和正式分歧裁决。因此，下一章只能作为正式结果章的占位和证据边界说明，不能替代最终实证结果。</w:t>
      </w:r>
    </w:p>
    <w:p>
      <w:r>
        <w:rPr>
          <w:rFonts w:ascii="Arial Unicode MS" w:hAnsi="Arial Unicode MS" w:eastAsia="Arial Unicode MS"/>
          <w:b w:val="0"/>
          <w:sz w:val="24"/>
        </w:rPr>
        <w:t>在人工终核真实回填、正式A/B评分者记录和裁决后唯一分析表形成前，第4章应保持占位版，不应提前生成结论性段落。</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1" name="Picture 1"/>
            <wp:cNvGraphicFramePr>
              <a:graphicFrameLocks noChangeAspect="1"/>
            </wp:cNvGraphicFramePr>
            <a:graphic>
              <a:graphicData uri="http://schemas.openxmlformats.org/drawingml/2006/picture">
                <pic:pic>
                  <pic:nvPicPr>
                    <pic:cNvPr id="0" name="figure_4_1_dimension_presence_r01_v1.png"/>
                    <pic:cNvPicPr/>
                  </pic:nvPicPr>
                  <pic:blipFill>
                    <a:blip r:embed="rId11"/>
                    <a:stretch>
                      <a:fillRect/>
                    </a:stretch>
                  </pic:blipFill>
                  <pic:spPr>
                    <a:xfrm>
                      <a:off x="0" y="0"/>
                      <a:ext cx="5472000" cy="3002721"/>
                    </a:xfrm>
                    <a:prstGeom prst="rect"/>
                  </pic:spPr>
                </pic:pic>
              </a:graphicData>
            </a:graphic>
          </wp:inline>
        </w:drawing>
      </w:r>
    </w:p>
    <w:p>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2" name="Picture 2"/>
            <wp:cNvGraphicFramePr>
              <a:graphicFrameLocks noChangeAspect="1"/>
            </wp:cNvGraphicFramePr>
            <a:graphic>
              <a:graphicData uri="http://schemas.openxmlformats.org/drawingml/2006/picture">
                <pic:pic>
                  <pic:nvPicPr>
                    <pic:cNvPr id="0" name="figure_4_2_level_distribution_r01_v1.png"/>
                    <pic:cNvPicPr/>
                  </pic:nvPicPr>
                  <pic:blipFill>
                    <a:blip r:embed="rId12"/>
                    <a:stretch>
                      <a:fillRect/>
                    </a:stretch>
                  </pic:blipFill>
                  <pic:spPr>
                    <a:xfrm>
                      <a:off x="0" y="0"/>
                      <a:ext cx="5472000" cy="3700235"/>
                    </a:xfrm>
                    <a:prstGeom prst="rect"/>
                  </pic:spPr>
                </pic:pic>
              </a:graphicData>
            </a:graphic>
          </wp:inline>
        </w:drawing>
      </w:r>
    </w:p>
    <w:p>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