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V15</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对自由作答的研究也以学生书面作答中的可见证据为编码对象，而非仅凭题目文字推定学生已经具备某种思维技能。[引文占位：ST-002、ST-003、ST-015；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相邻的中国物理考试题内容分析会将同一大题中可相对独立、且要求不同认知操作的任务分别登记，并把题目中的图、表或示意图是否构成任务条件、是否要求生成表征写入纳入规则。因此，本研究拆分复赛大题时，以题干、题图和参考解答能够分别定位为前提；图件只作为支持任务要求的证据之一，不因其形式本身自动触发某一科学思维维度或等级。[引文占位：ST-014；支持分析单位与图件边界的报告原则；不采用VBT/Bloom类别]</w:t>
      </w:r>
    </w:p>
    <w:p>
      <w:r>
        <w:rPr>
          <w:rFonts w:ascii="Arial Unicode MS" w:hAnsi="Arial Unicode MS" w:eastAsia="Arial Unicode MS"/>
          <w:b w:val="0"/>
          <w:sz w:val="24"/>
        </w:rPr>
        <w:t>相邻的物理题文本分类研究提示，除公布语料范围和分析单位外，还应说明判定依据、示例及分歧处理；题目所要求的认知过程还会受先备知识和相似题经验等分析前提影响。故本研究保留题干—参考解答定位、编码手册版本和分歧裁决记录，并只把它们用于描述试题任务要求，不据此推定参赛者实际采用的策略、能力或学习结果。[引文占位：ST-012、ST-013；仅支持任务分析前提与透明报告；不采用TIPP或Bloom类别、样本、统计或一致性结论]</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r>
        <w:rPr>
          <w:rFonts w:ascii="Arial Unicode MS" w:hAnsi="Arial Unicode MS" w:eastAsia="Arial Unicode MS"/>
          <w:b w:val="0"/>
          <w:sz w:val="24"/>
        </w:rPr>
        <w:t>对于两名评分者的分类记录，原始一致率呈现直接观察到的同判比例，kappa类指标则尝试校正机会一致；两者均须结合比较数、类别分布和评分者独立性假定解释。故本项目同时保留原始一致与kappa类统计，并将评分过程只能按自声明登记的限制写入方法边界；这些统计不构成框架效度或评分过程独立性的证明。[引文占位：METH-007；支持原始一致与kappa并列报告及其解释限制；不采用医疗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r>
        <w:rPr>
          <w:rFonts w:ascii="Arial Unicode MS" w:hAnsi="Arial Unicode MS" w:eastAsia="Arial Unicode MS"/>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引文占位：ST-009，详见 02_literature/scientific_thinking_st009_reading_notes.md]</w:t>
      </w:r>
    </w:p>
    <w:p>
      <w:r>
        <w:rPr>
          <w:rFonts w:ascii="Arial Unicode MS" w:hAnsi="Arial Unicode MS" w:eastAsia="Arial Unicode MS"/>
          <w:b w:val="0"/>
          <w:sz w:val="24"/>
        </w:rPr>
        <w:t>物理探究中的论证任务还可把“结论—证据或理由—适用限制”作为同一份书面产出的三个组成部分，并安排反例比较或反思问题，让学生审查结论是否确由所列条件、关系或数据支持。评价时应区分“写出答案或完成操作”与“能否依任务材料说明选择理由及限制”，且所要求的解释应与任务复杂度相称。这些设计参照来自荷兰物理探究研究，不迁移其学生表现、课堂工具、量规或教学结果，也不表示本章建议已经实施或有效。[引文占位：ST-010、ST-011，详见 02_literature/scientific_thinking_st010_reading_notes.md、scientific_thinking_st011_reading_notes.md]</w:t>
      </w:r>
    </w:p>
    <w:p>
      <w:r>
        <w:rPr>
          <w:rFonts w:ascii="Arial Unicode MS" w:hAnsi="Arial Unicode MS" w:eastAsia="Arial Unicode MS"/>
          <w:b w:val="0"/>
          <w:sz w:val="24"/>
        </w:rPr>
        <w:t>在存在易被误用的规律、条件或近似时，任务可先要求独立尝试，再要求学生作出定性预测并与计算、图像或相邻情境比较；之后提供相邻示例，要求其说明两个任务共享的原理以及原先判断在何种条件下失效。此处的“预测—核对—比较—说明”是可收集的设计步骤，不是对学生困难的诊断，也不表示该支架已在本项目课堂得到验证。[引文占位：ST-016；支持带条件核对的任务支架设计；不迁移大学课堂效果或评分量规]</w:t>
      </w:r>
    </w:p>
    <w:p>
      <w:r>
        <w:rPr>
          <w:rFonts w:ascii="Arial Unicode MS" w:hAnsi="Arial Unicode MS" w:eastAsia="Arial Unicode MS"/>
          <w:b w:val="0"/>
          <w:sz w:val="24"/>
        </w:rPr>
        <w:t>对于需要呈现完整解题过程的任务，还可把问题表征、条件或假设、方案计划、关键执行依据以及估算、量纲或极限情形检查分别作为待提交内容，并使所要求的过程与任务复杂度相称。该过程表来自美国大学物理的问题解决模板；本项目不采用其量规，也不把它对学生作答或课堂的发现写成本项目教学效果。[引文占位：ST-017；支持过程性任务产出与复杂度相称的设计参照；不迁移量规、学生样本或教学效果]</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19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Al-Salmani F, Thacker B. Rubric for assessing thinking skills in free-response exam problems[J]. Physical Review Physics Education Research, 2021, 17(1): 010135. DOI:10.1103/PhysRevPhysEducRes.17.010135.</w:t>
      </w:r>
    </w:p>
    <w:p>
      <w:pPr>
        <w:spacing w:lineRule="exact" w:line="400"/>
        <w:ind w:left="420" w:hanging="420"/>
      </w:pPr>
      <w:r>
        <w:rPr>
          <w:rFonts w:ascii="Arial Unicode MS" w:hAnsi="Arial Unicode MS" w:eastAsia="Arial Unicode MS"/>
          <w:b w:val="0"/>
          <w:sz w:val="21"/>
        </w:rPr>
        <w:t>[8]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[9] Wang C, Wei B. Analysis of visual-based physics questions of the senior high school entrance examination in China[J]. Physical Review Physics Education Research, 2024, 20(1): 010112. DOI:10.1103/PhysRevPhysEducRes.20.010112.</w:t>
      </w:r>
    </w:p>
    <w:p>
      <w:pPr>
        <w:spacing w:lineRule="exact" w:line="400"/>
        <w:ind w:left="420" w:hanging="420"/>
      </w:pPr>
      <w:r>
        <w:rPr>
          <w:rFonts w:ascii="Arial Unicode MS" w:hAnsi="Arial Unicode MS" w:eastAsia="Arial Unicode MS"/>
          <w:b w:val="0"/>
          <w:sz w:val="21"/>
        </w:rPr>
        <w:t>[10] Teodorescu R E, Bennhold C, Feldman G, et al. New approach to analyzing physics problems: A Taxonomy of Introductory Physics Problems[J]. Physical Review Special Topics - Physics Education Research, 2013, 9(1): 010103. DOI:10.1103/PhysRevSTPER.9.010103.</w:t>
      </w:r>
    </w:p>
    <w:p>
      <w:pPr>
        <w:spacing w:lineRule="exact" w:line="400"/>
        <w:ind w:left="420" w:hanging="420"/>
      </w:pPr>
      <w:r>
        <w:rPr>
          <w:rFonts w:ascii="Arial Unicode MS" w:hAnsi="Arial Unicode MS" w:eastAsia="Arial Unicode MS"/>
          <w:b w:val="0"/>
          <w:sz w:val="21"/>
        </w:rPr>
        <w:t>[11] Kocakaya S, Gonen S. Analysis of Turkish high-school physics-examination questions according to Bloom's taxonomy[J]. Asia-Pacific Forum on Science Learning and Teaching, 2010, 11(1): Article 9, 1-14.</w:t>
      </w:r>
    </w:p>
    <w:p>
      <w:pPr>
        <w:spacing w:lineRule="exact" w:line="400"/>
        <w:ind w:left="420" w:hanging="420"/>
      </w:pPr>
      <w:r>
        <w:rPr>
          <w:rFonts w:ascii="Arial Unicode MS" w:hAnsi="Arial Unicode MS" w:eastAsia="Arial Unicode MS"/>
          <w:b w:val="0"/>
          <w:sz w:val="21"/>
        </w:rPr>
        <w:t>[12] McHugh M L. Interrater reliability: The kappa statistic[J]. Biochemia Medica, 2012, 22(3): 276-282. DOI:10.11613/BM.2012.031.</w:t>
      </w:r>
    </w:p>
    <w:p>
      <w:pPr>
        <w:spacing w:lineRule="exact" w:line="400"/>
        <w:ind w:left="420" w:hanging="420"/>
      </w:pPr>
      <w:r>
        <w:rPr>
          <w:rFonts w:ascii="Arial Unicode MS" w:hAnsi="Arial Unicode MS" w:eastAsia="Arial Unicode MS"/>
          <w:b w:val="0"/>
          <w:sz w:val="21"/>
        </w:rPr>
        <w:t>[13]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[14]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Arial Unicode MS" w:hAnsi="Arial Unicode MS" w:eastAsia="Arial Unicode MS"/>
          <w:b w:val="0"/>
          <w:sz w:val="21"/>
        </w:rPr>
        <w:t>[15] Zwickl B M, Hu D, Finkelstein N, et al. Model-based reasoning in the physics laboratory: Framework and initial results[J]. Physical Review Special Topics - Physics Education Research, 2015, 11(2): 020113. DOI:10.1103/PhysRevSTPER.11.020113.</w:t>
      </w:r>
    </w:p>
    <w:p>
      <w:pPr>
        <w:spacing w:lineRule="exact" w:line="400"/>
        <w:ind w:left="420" w:hanging="420"/>
      </w:pPr>
      <w:r>
        <w:rPr>
          <w:rFonts w:ascii="Arial Unicode MS" w:hAnsi="Arial Unicode MS" w:eastAsia="Arial Unicode MS"/>
          <w:b w:val="0"/>
          <w:sz w:val="21"/>
        </w:rPr>
        <w:t>[16] Pols C F J, Dekkers P J J M, de Vries M J. Integrating argumentation in physics inquiry: A design and evaluation study[J]. Physical Review Physics Education Research, 2023, 19(2): 020170. DOI:10.1103/PhysRevPhysEducRes.19.020170.</w:t>
      </w:r>
    </w:p>
    <w:p>
      <w:pPr>
        <w:spacing w:lineRule="exact" w:line="400"/>
        <w:ind w:left="420" w:hanging="420"/>
      </w:pPr>
      <w:r>
        <w:rPr>
          <w:rFonts w:ascii="Arial Unicode MS" w:hAnsi="Arial Unicode MS" w:eastAsia="Arial Unicode MS"/>
          <w:b w:val="0"/>
          <w:sz w:val="21"/>
        </w:rPr>
        <w:t>[17] Pols C F J, Dekkers P J J M, de Vries M J. Defining and assessing understandings of evidence with the assessment rubric for physics inquiry: Towards integration of argumentation and inquiry[J]. Physical Review Physics Education Research, 2022, 18(1): 010111. DOI:10.1103/PhysRevPhysEducRes.18.010111.</w:t>
      </w:r>
    </w:p>
    <w:p>
      <w:pPr>
        <w:spacing w:lineRule="exact" w:line="400"/>
        <w:ind w:left="420" w:hanging="420"/>
      </w:pPr>
      <w:r>
        <w:rPr>
          <w:rFonts w:ascii="Arial Unicode MS" w:hAnsi="Arial Unicode MS" w:eastAsia="Arial Unicode MS"/>
          <w:b w:val="0"/>
          <w:sz w:val="21"/>
        </w:rPr>
        <w:t>[18] Lin S-Y, Singh C. Effect of scaffolding on helping introductory physics students solve quantitative problems involving strong alternative conceptions[J]. Physical Review Special Topics - Physics Education Research, 2015, 11(2): 020105. DOI:10.1103/PhysRevSTPER.11.020105.</w:t>
      </w:r>
    </w:p>
    <w:p>
      <w:pPr>
        <w:spacing w:lineRule="exact" w:line="400"/>
        <w:ind w:left="420" w:hanging="420"/>
      </w:pPr>
      <w:r>
        <w:rPr>
          <w:rFonts w:ascii="Arial Unicode MS" w:hAnsi="Arial Unicode MS" w:eastAsia="Arial Unicode MS"/>
          <w:b w:val="0"/>
          <w:sz w:val="21"/>
        </w:rPr>
        <w:t>[19] Burkholder E W, Miles J K, Layden T J, et al. Template for teaching and assessment of problem solving in introductory physics[J]. Physical Review Physics Education Research, 2020, 16(1): 010123. DOI:10.1103/PhysRevPhysEducRes.16.010123.</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