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Table 2. LightGBM held-out R² across every pavement family and model variant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pPr>
              <w:jc w:val="center"/>
            </w:pPr>
            <w:r>
              <w:rPr>
                <w:b/>
                <w:sz w:val="20"/>
              </w:rPr>
              <w:t>Pavement family</w:t>
            </w:r>
          </w:p>
        </w:tc>
        <w:tc>
          <w:tcPr>
            <w:tcW w:type="dxa" w:w="1764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764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1764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  <w:tc>
          <w:tcPr>
            <w:tcW w:type="dxa" w:w="1764"/>
          </w:tcPr>
          <w:p>
            <w:pPr>
              <w:jc w:val="center"/>
            </w:pPr>
            <w:r>
              <w:rPr>
                <w:b/>
                <w:sz w:val="20"/>
              </w:rPr>
              <w:t>R2 (held-out)</w:t>
            </w:r>
          </w:p>
        </w:tc>
        <w:tc>
          <w:tcPr>
            <w:tcW w:type="dxa" w:w="1764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764"/>
          </w:tcPr>
          <w:p>
            <w:pPr>
              <w:jc w:val="center"/>
            </w:pPr>
            <w:r>
              <w:rPr>
                <w:b/>
                <w:sz w:val="20"/>
              </w:rPr>
              <w:t>CV R2 mean</w:t>
            </w:r>
          </w:p>
        </w:tc>
        <w:tc>
          <w:tcPr>
            <w:tcW w:type="dxa" w:w="1764"/>
          </w:tcPr>
          <w:p>
            <w:pPr>
              <w:jc w:val="center"/>
            </w:pPr>
            <w:r>
              <w:rPr>
                <w:b/>
                <w:sz w:val="20"/>
              </w:rPr>
              <w:t>CV R2 std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Flexible (GPS-1/2)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Structural (full)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235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0.414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0.495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0.227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0.113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Flexible (GPS-1/2)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Structural, traffic+LTE ablated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235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0.395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0.502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0.21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0.107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Flexible (GPS-1/2)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Operational (+ lagged IRI)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180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0.698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0.384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0.542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0.095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Rigid, pooled (JPCP+JRCP+CRCP)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Structural (full)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407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0.22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0.609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0.188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0.099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Rigid, pooled (JPCP+JRCP+CRCP)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Structural, traffic+LTE ablated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407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0.203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0.616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0.166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0.087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Rigid, pooled (JPCP+JRCP+CRCP)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Operational (+ lagged IRI)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384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0.391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0.39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0.57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0.125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Rigid, JPCP/JRCP only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Structural (full)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193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-0.294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0.928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0.182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0.048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Rigid, JPCP/JRCP only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Structural, traffic+LTE ablated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193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-0.331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0.941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0.185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0.052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Rigid, JPCP/JRCP only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Operational (+ lagged IRI)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851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285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0.431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0.49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0.574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0.117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Rigid, CRCP only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Structural (full)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0.226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0.403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0.066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0.246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Rigid, CRCP only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Structural, traffic+LTE ablated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0.244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0.399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0.082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0.29</w:t>
            </w:r>
          </w:p>
        </w:tc>
      </w:tr>
      <w:tr>
        <w:tc>
          <w:tcPr>
            <w:tcW w:type="dxa" w:w="1764"/>
          </w:tcPr>
          <w:p>
            <w:r>
              <w:rPr>
                <w:sz w:val="20"/>
              </w:rPr>
              <w:t>Rigid, CRCP only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Operational (+ lagged IRI)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267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84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0.268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0.407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0.54</w:t>
            </w:r>
          </w:p>
        </w:tc>
        <w:tc>
          <w:tcPr>
            <w:tcW w:type="dxa" w:w="1764"/>
          </w:tcPr>
          <w:p>
            <w:r>
              <w:rPr>
                <w:sz w:val="20"/>
              </w:rPr>
              <w:t>0.256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