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rigid_operational_lagged_shap_importance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Feature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LONG_SPALLING_L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MEPDG_PUNCHOUTS_CRCP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PUNCHOUTS_NO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0.0003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PATCH_RIGID_A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0.0012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IS_CRCP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0.0016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LOAD_TRANSFER_EFFICIENCY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0.0021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AADTT_LTPPLN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0.0058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MEAN_ANN_TEMP_AVG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0.0061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AGE_YR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0.007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KESAL_YEAR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0.0098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TRANS_CRACK_NO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FREEZE_INDEX_YR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0.0167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TOTAL_ANN_PRECIP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0.0186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TRANS_SPALLING_L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0.0205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BOUND_THICKNESS_CM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YEARS_SINCE_PREV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0.0346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AVG_WHEELPATH_FAULT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0.0919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PREV_IRI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0.2699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