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rPr>
          <w:sz w:val="24"/>
        </w:rPr>
        <w:t>rigid_crcp_structural_shap_importance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Feature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MEPDG_PUNCHOUTS_CRCP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KESAL_YEAR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0.0042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AADTT_LTPPLN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0.0178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FREEZE_INDEX_YR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0.0216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PUNCHOUTS_NO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LONG_SPALLING_L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0.029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TOTAL_ANN_PRECIP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0.0344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LOAD_TRANSFER_EFFICIENCY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0.0444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AGE_YR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0.0474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MEAN_ANN_TEMP_AVG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0.1052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BOUND_THICKNESS_CM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0.1104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