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rPr>
          <w:sz w:val="24"/>
        </w:rPr>
        <w:t>flexible_all_variants_metrics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Model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R2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RMSE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MAE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Train_time_s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CV_R2_mean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CV_R2_std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Speedup_vs_RF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Speedup_vs_ANN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Variant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N_train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N_test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MEPDG-style Linear Regression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0.196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0.5791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0.4608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0.1874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4.3959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10.3693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structural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1317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235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Random Forest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0.3237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0.5312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0.4107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0.8238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2.3588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structural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1317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235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ANN (MLP, Optuna-tuned)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0.1074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0.6102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0.4782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1.9432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0.0113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0.4239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structural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1317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235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Gradient-Boosted Ensemble (LightGBM, Optuna-tuned)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0.4138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0.4945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0.3696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0.4879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0.227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0.1129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1.6885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3.9828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structural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1317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235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MEPDG-style Linear Regression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0.2012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0.5773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0.4585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0.0341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19.0059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59.0205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no_traffic_lte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1317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235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Random Forest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0.318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0.5334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0.4189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0.6481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3.1054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no_traffic_lte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1317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235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ANN (MLP, Optuna-tuned)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0.1424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0.5982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0.4598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2.0126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0.0344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0.322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no_traffic_lte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1317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235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Gradient-Boosted Ensemble (LightGBM, Optuna-tuned)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0.3948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0.5025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0.3777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0.071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0.2101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0.1074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9.1282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28.3465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no_traffic_lte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1317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235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MEPDG-style Linear Regression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0.6803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0.3955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0.2778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0.7741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1.5999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1.3753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operational_lagged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1179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180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Random Forest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0.719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0.3708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0.2293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1.2385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0.8596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operational_lagged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1179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180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ANN (MLP, Optuna-tuned)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0.6498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0.414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0.2761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1.0646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0.3728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1.1633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operational_lagged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1179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180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Gradient-Boosted Ensemble (LightGBM, Optuna-tuned)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0.6982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0.3843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0.2575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0.5618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0.5415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0.0947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2.2045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1.895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operational_lagged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1179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180</w:t>
            </w:r>
          </w:p>
        </w:tc>
      </w:tr>
    </w:tbl>
    <w:sectPr w:rsidR="00FC693F" w:rsidRPr="0006063C" w:rsidSect="00034616">
      <w:pgSz w:w="15840" w:h="12240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