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Table 3. Structural model comparison — flexible (asphalt) pavements</w:t>
      </w:r>
    </w:p>
    <w:p>
      <w:r>
        <w:rPr>
          <w:i/>
          <w:sz w:val="16"/>
        </w:rPr>
        <w:t>Additional columns (MAE, Speedup_vs_ANN, Variant, N_train, N_test) are in the source CSV: tables/flexible_structural_model_metrics.csv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Model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R2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RMSE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Train_time_s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Speedup_vs_RF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CV_R2_mean</w:t>
            </w:r>
          </w:p>
        </w:tc>
        <w:tc>
          <w:tcPr>
            <w:tcW w:type="dxa" w:w="2016"/>
          </w:tcPr>
          <w:p>
            <w:pPr>
              <w:jc w:val="center"/>
            </w:pPr>
            <w:r>
              <w:rPr>
                <w:b/>
                <w:sz w:val="20"/>
              </w:rPr>
              <w:t>CV_R2_std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Linear (M-E style)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0.196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0.5791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0.1874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4.3959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Random Forest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0.3237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0.5312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0.8238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1.0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ANN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0.1074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0.6102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1.9432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0.4239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0.0113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LightGBM (tuned)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0.4138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0.4945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0.4879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1.6885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0.227</w:t>
            </w:r>
          </w:p>
        </w:tc>
        <w:tc>
          <w:tcPr>
            <w:tcW w:type="dxa" w:w="2016"/>
          </w:tcPr>
          <w:p>
            <w:r>
              <w:rPr>
                <w:sz w:val="20"/>
              </w:rPr>
              <w:t>0.1129</w:t>
            </w:r>
          </w:p>
        </w:tc>
      </w:tr>
    </w:tbl>
    <w:sectPr w:rsidR="00FC693F" w:rsidRPr="0006063C" w:rsidSect="00034616">
      <w:pgSz w:w="15840" w:h="12240" w:orient="landscape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