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flexible_structural_shap_importance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Feature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KESAL_YEAR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0.0117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AGE_YR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0.0193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SITE_FACTOR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0.0198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AADTT_LTPPLN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0.0223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MEPDG_LONG_CRACK_LENGTH_AC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0.0261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BOUND_THICKNESS_CM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0.0369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TOTAL_ANN_PRECIP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0.0473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FREEZE_INDEX_YR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0.0478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MAX_MEAN_DEPTH_WIRE_REF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0.0497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MEAN_ANN_TEMP_AVG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0.063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HPMS16_CRACKING_PERCENT_AC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0.0682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PATCH_A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0.1188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MEPDG_TRANS_CRACK_LENGTH_AC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0.1528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