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rigid_crcp_structural_shap_importance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MEPDG_PUNCHOUTS_CRCP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KESAL_YEAR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0.0042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AADTT_LTPPLN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0.0178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FREEZE_INDEX_YR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0.0216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PUNCHOUTS_NO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LONG_SPALLING_L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TOTAL_ANN_PRECIP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0.0344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LOAD_TRANSFER_EFFICIENCY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0.0444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0.0474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MEAN_ANN_TEMP_AVG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0.1052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BOUND_THICKNESS_CM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0.1104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