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sz w:val="24"/>
        </w:rPr>
        <w:t>rigid_operational_lagged_model_metrics</w:t>
      </w:r>
    </w:p>
    <w:p>
      <w:r>
        <w:rPr>
          <w:i/>
          <w:sz w:val="16"/>
        </w:rPr>
        <w:t>Additional columns (MAE, Speedup_vs_ANN, Variant, N_train, N_test) are in the source CSV: tables/rigid_operational_lagged_model_metrics.csv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0"/>
              </w:rPr>
              <w:t>Model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0"/>
              </w:rPr>
              <w:t>R2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0"/>
              </w:rPr>
              <w:t>RMSE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0"/>
              </w:rPr>
              <w:t>Train_time_s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0"/>
              </w:rPr>
              <w:t>Speedup_vs_RF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0"/>
              </w:rPr>
              <w:t>CV_R2_mean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0"/>
              </w:rPr>
              <w:t>CV_R2_std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Linear (M-E style)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0.3709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0.3963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1.1781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1.5622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Random Forest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0.3816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0.393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1.8404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ANN (tuned)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0.1369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0.4642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1.0129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1.817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0.151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LightGBM (tuned)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0.3914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0.3898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0.5444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3.3806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0.5696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0.1247</w:t>
            </w:r>
          </w:p>
        </w:tc>
      </w:tr>
    </w:tbl>
    <w:sectPr w:rsidR="00FC693F" w:rsidRPr="0006063C" w:rsidSect="00034616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