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Table 5. Mean absolute SHAP feature importance — rigid pavements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IS_CRCP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MEPDG_PUNCHOUTS_CRCP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LONG_SPALLING_L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0.008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PUNCHOUTS_NO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PATCH_RIGID_A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0.0155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TRANS_CRACK_NO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0.0357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FREEZE_INDEX_YR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0.0437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AGE_YR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0.0566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TRANS_SPALLING_L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0.0579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MEAN_ANN_TEMP_AVG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0.0734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TOTAL_ANN_PRECIP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0.0766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BOUND_THICKNESS_CM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0.0767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AVG_WHEELPATH_FAULT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0.148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