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Hybridisation Pay? A Systematic Review of Metaheuristic Optimisation and Machine Learning Hybrids in Pavement Engineering (2005–2026)</w:t>
      </w:r>
    </w:p>
    <w:p>
      <w:pPr>
        <w:pStyle w:val="Author"/>
      </w:pPr>
      <w:r>
        <w:t xml:space="preserve">Seyed Saber Naseralavi</w:t>
      </w:r>
    </w:p>
    <w:p>
      <w:pPr>
        <w:pStyle w:val="Author"/>
      </w:pPr>
      <w:r>
        <w:t xml:space="preserve">Ali Reza Ghanizadeh</w:t>
      </w:r>
    </w:p>
    <w:p>
      <w:pPr>
        <w:pStyle w:val="Date"/>
      </w:pPr>
      <w:r>
        <w:t xml:space="preserve">2026-08-08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PLACEHOLDER — structured abstract, ~280 words, written last so that every</w:t>
      </w:r>
      <w:r>
        <w:t xml:space="preserve"> </w:t>
      </w:r>
      <w:r>
        <w:t xml:space="preserve">number in it traces to the audit. Do not draft this before Section 9 is final.</w:t>
      </w:r>
    </w:p>
    <w:p>
      <w:pPr>
        <w:pStyle w:val="BlockText"/>
      </w:pPr>
      <w:r>
        <w:rPr>
          <w:b/>
          <w:bCs/>
        </w:rPr>
        <w:t xml:space="preserve">Draft status.</w:t>
      </w:r>
      <w:r>
        <w:t xml:space="preserve"> </w:t>
      </w:r>
      <w:r>
        <w:t xml:space="preserve">This file renders to PDF, Word and HTML from one source.</w:t>
      </w:r>
      <w:r>
        <w:t xml:space="preserve"> </w:t>
      </w:r>
      <w:r>
        <w:t xml:space="preserve">Sections marked</w:t>
      </w:r>
      <w:r>
        <w:t xml:space="preserve"> </w:t>
      </w:r>
      <w:r>
        <w:rPr>
          <w:i/>
          <w:iCs/>
        </w:rPr>
        <w:t xml:space="preserve">PLACEHOLDER</w:t>
      </w:r>
      <w:r>
        <w:t xml:space="preserve"> </w:t>
      </w:r>
      <w:r>
        <w:t xml:space="preserve">are not yet written. Every citation resolves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which is generated from</w:t>
      </w:r>
      <w:r>
        <w:t xml:space="preserve"> </w:t>
      </w:r>
      <w:r>
        <w:rPr>
          <w:rStyle w:val="VerbatimChar"/>
        </w:rPr>
        <w:t xml:space="preserve">data/seed_bibliography.csv</w:t>
      </w:r>
      <w:r>
        <w:t xml:space="preserve">; a citation key that is not in the verified</w:t>
      </w:r>
      <w:r>
        <w:t xml:space="preserve"> </w:t>
      </w:r>
      <w:r>
        <w:t xml:space="preserve">database fails the render rather than passing silently.</w:t>
      </w:r>
    </w:p>
    <w:bookmarkStart w:id="13" w:name="sec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PLACEHOLDER — see</w:t>
      </w:r>
      <w:r>
        <w:t xml:space="preserve"> </w:t>
      </w:r>
      <w:r>
        <w:rPr>
          <w:rStyle w:val="VerbatimChar"/>
        </w:rPr>
        <w:t xml:space="preserve">docs/01_SCOPE_AND_TAXONOMY.md</w:t>
      </w:r>
      <w:r>
        <w:t xml:space="preserve"> </w:t>
      </w:r>
      <w:r>
        <w:t xml:space="preserve">§1 for the argument this section</w:t>
      </w:r>
      <w:r>
        <w:t xml:space="preserve"> </w:t>
      </w:r>
      <w:r>
        <w:t xml:space="preserve">must carry: hybridisation is the field’s dominant claim of novelty, and the marginal</w:t>
      </w:r>
      <w:r>
        <w:t xml:space="preserve"> </w:t>
      </w:r>
      <w:r>
        <w:t xml:space="preserve">benefit of hybridisation over a properly tuned base learner is almost never tested.</w:t>
      </w:r>
    </w:p>
    <w:p>
      <w:pPr>
        <w:pStyle w:val="BodyText"/>
      </w:pPr>
      <w:r>
        <w:t xml:space="preserve">The review literature this study builds on is summarised in</w:t>
      </w:r>
      <w:r>
        <w:t xml:space="preserve"> </w:t>
      </w:r>
      <w:hyperlink w:anchor="fig-coverage">
        <w:r>
          <w:rPr>
            <w:rStyle w:val="Hyperlink"/>
          </w:rPr>
          <w:t xml:space="preserve">Figure 1</w:t>
        </w:r>
      </w:hyperlink>
      <w:r>
        <w:t xml:space="preserve">. Prior</w:t>
      </w:r>
      <w:r>
        <w:t xml:space="preserve"> </w:t>
      </w:r>
      <w:r>
        <w:t xml:space="preserve">surveys catalogue where neural and hybrid methods have been applied</w:t>
      </w:r>
      <w:r>
        <w:t xml:space="preserve"> </w:t>
      </w:r>
      <w:r>
        <w:t xml:space="preserve">(Cao et al., 2020; Gopalakrishnan, 2018;</w:t>
      </w:r>
      <w:r>
        <w:t xml:space="preserve"> </w:t>
      </w:r>
      <w:r>
        <w:t xml:space="preserve">Yang et al.</w:t>
      </w:r>
      <w:r>
        <w:t xml:space="preserve">, 2021)</w:t>
      </w:r>
      <w:r>
        <w:t xml:space="preserve">; two recent</w:t>
      </w:r>
      <w:r>
        <w:t xml:space="preserve"> </w:t>
      </w:r>
      <w:r>
        <w:t xml:space="preserve">contributions name the underlying problem without converting it into per-study</w:t>
      </w:r>
      <w:r>
        <w:t xml:space="preserve"> </w:t>
      </w:r>
      <w:r>
        <w:t xml:space="preserve">evidence</w:t>
      </w:r>
      <w:r>
        <w:t xml:space="preserve"> </w:t>
      </w:r>
      <w:r>
        <w:t xml:space="preserve">(</w:t>
      </w:r>
      <w:r>
        <w:t xml:space="preserve">M’harzi Alaoui et al.</w:t>
      </w:r>
      <w:r>
        <w:t xml:space="preserve">, 2026; Tamagusko and Ferreira,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coverage"/>
          <w:p>
            <w:pPr>
              <w:pStyle w:val="Compact"/>
              <w:jc w:val="center"/>
            </w:pPr>
            <w:r>
              <w:drawing>
                <wp:inline>
                  <wp:extent cx="5334000" cy="2728745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figures/fig01_coverage_ga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287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Coverage of the prior review literature on artificial-intelligence methods in</w:t>
            </w:r>
            <w:r>
              <w:t xml:space="preserve"> </w:t>
            </w:r>
            <w:r>
              <w:t xml:space="preserve">pavement engineering. Scoring: 2 = substantive dedicated treatment, 1 = touched in</w:t>
            </w:r>
            <w:r>
              <w:t xml:space="preserve"> </w:t>
            </w:r>
            <w:r>
              <w:t xml:space="preserve">passing, 0 = absent.</w:t>
            </w:r>
          </w:p>
          <w:bookmarkEnd w:id="12"/>
        </w:tc>
      </w:tr>
    </w:tbl>
    <w:bookmarkEnd w:id="13"/>
    <w:bookmarkStart w:id="18" w:name="sec-method"/>
    <w:p>
      <w:pPr>
        <w:pStyle w:val="Heading1"/>
      </w:pPr>
      <w:r>
        <w:t xml:space="preserve">2. Review methodology</w:t>
      </w:r>
    </w:p>
    <w:p>
      <w:pPr>
        <w:pStyle w:val="FirstParagraph"/>
      </w:pPr>
      <w:r>
        <w:rPr>
          <w:i/>
          <w:iCs/>
        </w:rPr>
        <w:t xml:space="preserve">Full draft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docs/02_MANUSCRIPT_S2_methodology.md</w:t>
      </w:r>
      <w:r>
        <w:rPr>
          <w:i/>
          <w:iCs/>
        </w:rPr>
        <w:t xml:space="preserve">; transferred here section by</w:t>
      </w:r>
      <w:r>
        <w:rPr>
          <w:i/>
          <w:iCs/>
        </w:rPr>
        <w:t xml:space="preserve"> </w:t>
      </w:r>
      <w:r>
        <w:rPr>
          <w:i/>
          <w:iCs/>
        </w:rPr>
        <w:t xml:space="preserve">section as each is finalised.</w:t>
      </w:r>
    </w:p>
    <w:bookmarkStart w:id="14" w:name="scope-and-framing-question"/>
    <w:p>
      <w:pPr>
        <w:pStyle w:val="Heading2"/>
      </w:pPr>
      <w:r>
        <w:t xml:space="preserve">2.1 Scope and framing question</w:t>
      </w:r>
    </w:p>
    <w:p>
      <w:pPr>
        <w:pStyle w:val="FirstParagraph"/>
      </w:pPr>
      <w:r>
        <w:t xml:space="preserve">PLACEHOLDER — transfer from the draft.</w:t>
      </w:r>
    </w:p>
    <w:bookmarkEnd w:id="14"/>
    <w:bookmarkStart w:id="16" w:name="information-sources-and-search"/>
    <w:p>
      <w:pPr>
        <w:pStyle w:val="Heading2"/>
      </w:pPr>
      <w:r>
        <w:t xml:space="preserve">2.2 Information sources and search</w:t>
      </w:r>
    </w:p>
    <w:p>
      <w:pPr>
        <w:pStyle w:val="FirstParagraph"/>
      </w:pPr>
      <w:r>
        <w:t xml:space="preserve">Records were identified from OpenAlex, Scopus, Web of Science Core Collection and</w:t>
      </w:r>
      <w:r>
        <w:t xml:space="preserve"> </w:t>
      </w:r>
      <w:r>
        <w:t xml:space="preserve">Semantic Scholar, with backward and forward snowballing from the</w:t>
      </w:r>
      <w:r>
        <w:t xml:space="preserve"> </w:t>
      </w:r>
      <w:r>
        <w:t xml:space="preserve">13 prior reviews listed in</w:t>
      </w:r>
      <w:r>
        <w:t xml:space="preserve"> </w:t>
      </w:r>
      <w:hyperlink w:anchor="tbl-reviews">
        <w:r>
          <w:rPr>
            <w:rStyle w:val="Hyperlink"/>
          </w:rPr>
          <w:t xml:space="preserve">Table 1</w:t>
        </w:r>
      </w:hyperlink>
      <w:r>
        <w:t xml:space="preserve">. The window runs from</w:t>
      </w:r>
      <w:r>
        <w:t xml:space="preserve"> </w:t>
      </w:r>
      <w:r>
        <w:t xml:space="preserve">1 January 2005 to 30 June 2026.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revie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Prior reviews of artificial-intelligence methods in pavement engineering, with the territory each occupies.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Venue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Territory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Gopalakrishnan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IEEE Access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structural-evaluation/distress-detection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Abambres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TechRxiv (preprint)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Traffic Transp. Eng. (Engl. Ed.)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Rasol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Constr. Build. Mater.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Cavalli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Road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Tamagusko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Infrastructures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Yuan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Remote Sensing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Safyari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Sensors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M’harzi Alaoui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Umm Al-Qura Univ. Eng. Archit.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Zagvozda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Adv. Civ. Archit.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Hariri Asli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</w:tbl>
          <w:bookmarkEnd w:id="15"/>
          <w:p/>
        </w:tc>
      </w:tr>
    </w:tbl>
    <w:bookmarkEnd w:id="16"/>
    <w:bookmarkStart w:id="17" w:name="eligibility"/>
    <w:p>
      <w:pPr>
        <w:pStyle w:val="Heading2"/>
      </w:pPr>
      <w:r>
        <w:t xml:space="preserve">2.3 Eligibility</w:t>
      </w:r>
    </w:p>
    <w:p>
      <w:pPr>
        <w:pStyle w:val="FirstParagraph"/>
      </w:pPr>
      <w:r>
        <w:t xml:space="preserve">PLACEHOLDER — transfer from the draft, including the structural (not lexical)</w:t>
      </w:r>
      <w:r>
        <w:t xml:space="preserve"> </w:t>
      </w:r>
      <w:r>
        <w:t xml:space="preserve">definition of hybridity in</w:t>
      </w:r>
      <w:r>
        <w:t xml:space="preserve"> </w:t>
      </w:r>
      <w:r>
        <w:rPr>
          <w:rStyle w:val="VerbatimChar"/>
        </w:rPr>
        <w:t xml:space="preserve">docs/01_SCOPE_AND_TAXONOMY.md</w:t>
      </w:r>
      <w:r>
        <w:t xml:space="preserve"> </w:t>
      </w:r>
      <w:r>
        <w:t xml:space="preserve">§2.</w:t>
      </w:r>
    </w:p>
    <w:bookmarkEnd w:id="17"/>
    <w:bookmarkEnd w:id="18"/>
    <w:bookmarkStart w:id="19" w:name="sec-biblio"/>
    <w:p>
      <w:pPr>
        <w:pStyle w:val="Heading1"/>
      </w:pPr>
      <w:r>
        <w:t xml:space="preserve">3. Bibliometric landscape</w:t>
      </w:r>
    </w:p>
    <w:p>
      <w:pPr>
        <w:pStyle w:val="FirstParagraph"/>
      </w:pPr>
      <w:r>
        <w:t xml:space="preserve">PLACEHOLDER — written after the harvest completes.</w:t>
      </w:r>
    </w:p>
    <w:bookmarkEnd w:id="19"/>
    <w:bookmarkStart w:id="20" w:name="sec-taxonomy"/>
    <w:p>
      <w:pPr>
        <w:pStyle w:val="Heading1"/>
      </w:pPr>
      <w:r>
        <w:t xml:space="preserve">4. Taxonomy of hybridisation</w:t>
      </w:r>
    </w:p>
    <w:p>
      <w:pPr>
        <w:pStyle w:val="FirstParagraph"/>
      </w:pPr>
      <w:r>
        <w:t xml:space="preserve">PLACEHOLDER — the H1–H7 taxonomy with theoretical justification and characteristic</w:t>
      </w:r>
      <w:r>
        <w:t xml:space="preserve"> </w:t>
      </w:r>
      <w:r>
        <w:t xml:space="preserve">failure mode, from</w:t>
      </w:r>
      <w:r>
        <w:t xml:space="preserve"> </w:t>
      </w:r>
      <w:r>
        <w:rPr>
          <w:rStyle w:val="VerbatimChar"/>
        </w:rPr>
        <w:t xml:space="preserve">docs/01_SCOPE_AND_TAXONOMY.md</w:t>
      </w:r>
      <w:r>
        <w:t xml:space="preserve"> </w:t>
      </w:r>
      <w:r>
        <w:t xml:space="preserve">§3.</w:t>
      </w:r>
    </w:p>
    <w:bookmarkEnd w:id="20"/>
    <w:bookmarkStart w:id="21" w:name="sec-materials"/>
    <w:p>
      <w:pPr>
        <w:pStyle w:val="Heading1"/>
      </w:pPr>
      <w:r>
        <w:t xml:space="preserve">5. Hybrid models in material and mix modelling</w:t>
      </w:r>
    </w:p>
    <w:p>
      <w:pPr>
        <w:pStyle w:val="FirstParagraph"/>
      </w:pPr>
      <w:r>
        <w:t xml:space="preserve">PLACEHOLDER.</w:t>
      </w:r>
    </w:p>
    <w:bookmarkEnd w:id="21"/>
    <w:bookmarkStart w:id="22" w:name="sec-structural"/>
    <w:p>
      <w:pPr>
        <w:pStyle w:val="Heading1"/>
      </w:pPr>
      <w:r>
        <w:t xml:space="preserve">6. Hybrid models in structural evaluation and inverse analysis</w:t>
      </w:r>
    </w:p>
    <w:p>
      <w:pPr>
        <w:pStyle w:val="FirstParagraph"/>
      </w:pPr>
      <w:r>
        <w:t xml:space="preserve">PLACEHOLDER — anchored on back-calculation</w:t>
      </w:r>
      <w:r>
        <w:t xml:space="preserve"> </w:t>
      </w:r>
      <w:r>
        <w:t xml:space="preserve">(</w:t>
      </w:r>
      <w:r>
        <w:t xml:space="preserve">Elbagalati et al.</w:t>
      </w:r>
      <w:r>
        <w:t xml:space="preserve">, 2017; Ghanizadeh et al., 2020;</w:t>
      </w:r>
      <w:r>
        <w:t xml:space="preserve"> </w:t>
      </w:r>
      <w:r>
        <w:rPr>
          <w:b/>
          <w:bCs/>
        </w:rPr>
        <w:t xml:space="preserve">Ghanizadeh2025implementing?</w:t>
      </w:r>
      <w:r>
        <w:t xml:space="preserve">)</w:t>
      </w:r>
      <w:r>
        <w:t xml:space="preserve">.</w:t>
      </w:r>
    </w:p>
    <w:bookmarkEnd w:id="22"/>
    <w:bookmarkStart w:id="23" w:name="sec-performance"/>
    <w:p>
      <w:pPr>
        <w:pStyle w:val="Heading1"/>
      </w:pPr>
      <w:r>
        <w:t xml:space="preserve">7. Hybrid models in performance prediction</w:t>
      </w:r>
    </w:p>
    <w:p>
      <w:pPr>
        <w:pStyle w:val="FirstParagraph"/>
      </w:pPr>
      <w:r>
        <w:t xml:space="preserve">PLACEHOLDER.</w:t>
      </w:r>
    </w:p>
    <w:bookmarkEnd w:id="23"/>
    <w:bookmarkStart w:id="24" w:name="sec-other-hybrids"/>
    <w:p>
      <w:pPr>
        <w:pStyle w:val="Heading1"/>
      </w:pPr>
      <w:r>
        <w:t xml:space="preserve">8. Physics-informed, fusion, stacking, decomposition and symbolic hybrids</w:t>
      </w:r>
    </w:p>
    <w:p>
      <w:pPr>
        <w:pStyle w:val="FirstParagraph"/>
      </w:pPr>
      <w:r>
        <w:t xml:space="preserve">PLACEHOLDER —</w:t>
      </w:r>
      <w:r>
        <w:t xml:space="preserve"> </w:t>
      </w:r>
      <w:r>
        <w:t xml:space="preserve">Pasupunuri et al. (2024)</w:t>
      </w:r>
      <w:r>
        <w:t xml:space="preserve"> </w:t>
      </w:r>
      <w:r>
        <w:t xml:space="preserve">for the physics-informed case;</w:t>
      </w:r>
      <w:r>
        <w:t xml:space="preserve"> </w:t>
      </w:r>
      <w:r>
        <w:t xml:space="preserve">Ghanizadeh et al.</w:t>
      </w:r>
      <w:r>
        <w:t xml:space="preserve"> </w:t>
      </w:r>
      <w:r>
        <w:t xml:space="preserve">(2024)</w:t>
      </w:r>
      <w:r>
        <w:t xml:space="preserve"> </w:t>
      </w:r>
      <w:r>
        <w:t xml:space="preserve">for the symbolic–numeric case.</w:t>
      </w:r>
    </w:p>
    <w:bookmarkEnd w:id="24"/>
    <w:bookmarkStart w:id="25" w:name="sec-premium"/>
    <w:p>
      <w:pPr>
        <w:pStyle w:val="Heading1"/>
      </w:pPr>
      <w:r>
        <w:t xml:space="preserve">9. The hybridisation premium</w:t>
      </w:r>
    </w:p>
    <w:p>
      <w:pPr>
        <w:pStyle w:val="FirstParagraph"/>
      </w:pPr>
      <w:r>
        <w:t xml:space="preserve">PLACEHOLDER — the paper’s central analysis. Definition and the evidence already in</w:t>
      </w:r>
      <w:r>
        <w:t xml:space="preserve"> </w:t>
      </w:r>
      <w:r>
        <w:t xml:space="preserve">hand are in</w:t>
      </w:r>
      <w:r>
        <w:t xml:space="preserve"> </w:t>
      </w:r>
      <w:r>
        <w:rPr>
          <w:rStyle w:val="VerbatimChar"/>
        </w:rPr>
        <w:t xml:space="preserve">docs/01_SCOPE_AND_TAXONOMY.md</w:t>
      </w:r>
      <w:r>
        <w:t xml:space="preserve"> </w:t>
      </w:r>
      <w:r>
        <w:t xml:space="preserve">§4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2022; Duan, 2024;</w:t>
      </w:r>
      <w:r>
        <w:t xml:space="preserve"> </w:t>
      </w:r>
      <w:r>
        <w:t xml:space="preserve">Zeiada et al.</w:t>
      </w:r>
      <w:r>
        <w:t xml:space="preserve">, 2025)</w:t>
      </w:r>
      <w:r>
        <w:t xml:space="preserve">.</w:t>
      </w:r>
    </w:p>
    <w:bookmarkEnd w:id="25"/>
    <w:bookmarkStart w:id="26" w:name="sec-interpretability"/>
    <w:p>
      <w:pPr>
        <w:pStyle w:val="Heading1"/>
      </w:pPr>
      <w:r>
        <w:t xml:space="preserve">10. Interpretability and uncertainty in hybrid pipelines</w:t>
      </w:r>
    </w:p>
    <w:p>
      <w:pPr>
        <w:pStyle w:val="FirstParagraph"/>
      </w:pPr>
      <w:r>
        <w:t xml:space="preserve">PLACEHOLDER.</w:t>
      </w:r>
    </w:p>
    <w:bookmarkEnd w:id="26"/>
    <w:bookmarkStart w:id="27" w:name="sec-decision"/>
    <w:p>
      <w:pPr>
        <w:pStyle w:val="Heading1"/>
      </w:pPr>
      <w:r>
        <w:t xml:space="preserve">11. From premium to decision</w:t>
      </w:r>
    </w:p>
    <w:p>
      <w:pPr>
        <w:pStyle w:val="FirstParagraph"/>
      </w:pPr>
      <w:r>
        <w:t xml:space="preserve">PLACEHOLDER — built on the cost-of-prediction-error curve in</w:t>
      </w:r>
      <w:r>
        <w:t xml:space="preserve"> </w:t>
      </w:r>
      <w:r>
        <w:t xml:space="preserve">Hosseini and Smadi (2021)</w:t>
      </w:r>
      <w:r>
        <w:t xml:space="preserve">.</w:t>
      </w:r>
    </w:p>
    <w:bookmarkEnd w:id="27"/>
    <w:bookmarkStart w:id="28" w:name="sec-paveml"/>
    <w:p>
      <w:pPr>
        <w:pStyle w:val="Heading1"/>
      </w:pPr>
      <w:r>
        <w:t xml:space="preserve">12. PAVE-ML: a reporting and appraisal checklist</w:t>
      </w:r>
    </w:p>
    <w:p>
      <w:pPr>
        <w:pStyle w:val="FirstParagraph"/>
      </w:pPr>
      <w:r>
        <w:t xml:space="preserve">PLACEHOLDER — instrument in</w:t>
      </w:r>
      <w:r>
        <w:t xml:space="preserve"> </w:t>
      </w:r>
      <w:r>
        <w:rPr>
          <w:rStyle w:val="VerbatimChar"/>
        </w:rPr>
        <w:t xml:space="preserve">docs/03_PAVE-ML_instrument.md</w:t>
      </w:r>
      <w:r>
        <w:t xml:space="preserve">.</w:t>
      </w:r>
    </w:p>
    <w:bookmarkEnd w:id="28"/>
    <w:bookmarkStart w:id="29" w:name="sec-agenda"/>
    <w:p>
      <w:pPr>
        <w:pStyle w:val="Heading1"/>
      </w:pPr>
      <w:r>
        <w:t xml:space="preserve">13. Research agenda</w:t>
      </w:r>
    </w:p>
    <w:p>
      <w:pPr>
        <w:pStyle w:val="FirstParagraph"/>
      </w:pPr>
      <w:r>
        <w:t xml:space="preserve">PLACEHOLDER.</w:t>
      </w:r>
    </w:p>
    <w:bookmarkEnd w:id="29"/>
    <w:bookmarkStart w:id="30" w:name="sec-conclusions"/>
    <w:p>
      <w:pPr>
        <w:pStyle w:val="Heading1"/>
      </w:pPr>
      <w:r>
        <w:t xml:space="preserve">14. Conclusions</w:t>
      </w:r>
    </w:p>
    <w:p>
      <w:pPr>
        <w:pStyle w:val="FirstParagraph"/>
      </w:pPr>
      <w:r>
        <w:t xml:space="preserve">PLACEHOLDER.</w:t>
      </w:r>
    </w:p>
    <w:bookmarkEnd w:id="30"/>
    <w:bookmarkStart w:id="31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no competing financial interests or personal relationships that</w:t>
      </w:r>
      <w:r>
        <w:t xml:space="preserve"> </w:t>
      </w:r>
      <w:r>
        <w:t xml:space="preserve">could have influenced the work reported in this paper.</w:t>
      </w:r>
    </w:p>
    <w:bookmarkEnd w:id="31"/>
    <w:bookmarkStart w:id="32" w:name="Xa6ff8e54395812bd8a1d49fa16c25a1d6a46bbb"/>
    <w:p>
      <w:pPr>
        <w:pStyle w:val="Heading1"/>
      </w:pPr>
      <w:r>
        <w:t xml:space="preserve">Declaration of generative AI in the writing process</w:t>
      </w:r>
    </w:p>
    <w:p>
      <w:pPr>
        <w:pStyle w:val="FirstParagraph"/>
      </w:pPr>
      <w:r>
        <w:t xml:space="preserve">PLACEHOLDER — to be completed per the target journal’s wording before submission.</w:t>
      </w:r>
      <w:r>
        <w:t xml:space="preserve"> </w:t>
      </w:r>
      <w:r>
        <w:t xml:space="preserve">Elsevier requires a statement naming the tool, the purpose of use, and confirmation</w:t>
      </w:r>
      <w:r>
        <w:t xml:space="preserve"> </w:t>
      </w:r>
      <w:r>
        <w:t xml:space="preserve">that the authors reviewed and take full responsibility for the content. Disclosed</w:t>
      </w:r>
      <w:r>
        <w:t xml:space="preserve"> </w:t>
      </w:r>
      <w:r>
        <w:t xml:space="preserve">use is permitted; undisclosed use is not.</w:t>
      </w:r>
    </w:p>
    <w:bookmarkEnd w:id="32"/>
    <w:bookmarkStart w:id="33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screening database, coding rubric, harvesting scripts and the full analysis</w:t>
      </w:r>
      <w:r>
        <w:t xml:space="preserve"> </w:t>
      </w:r>
      <w:r>
        <w:t xml:space="preserve">pipeline that produced every figure and table in this paper are available at</w:t>
      </w:r>
      <w:r>
        <w:t xml:space="preserve"> </w:t>
      </w:r>
      <w:r>
        <w:t xml:space="preserve">[REPOSITORY URL].</w:t>
      </w:r>
    </w:p>
    <w:bookmarkEnd w:id="33"/>
    <w:bookmarkStart w:id="61" w:name="references"/>
    <w:p>
      <w:pPr>
        <w:pStyle w:val="Heading1"/>
      </w:pPr>
      <w:r>
        <w:t xml:space="preserve">References</w:t>
      </w:r>
    </w:p>
    <w:bookmarkStart w:id="60" w:name="refs"/>
    <w:bookmarkStart w:id="35" w:name="ref-Azam2022resilient"/>
    <w:p>
      <w:pPr>
        <w:pStyle w:val="Bibliography"/>
      </w:pPr>
      <w:r>
        <w:t xml:space="preserve">Azam, A., Bardhan, A., Kaloop, M.R., others</w:t>
      </w:r>
      <w:r>
        <w:t xml:space="preserve">, 2022. Modeling resilient modulus of subgrade soils using LSSVM optimized with swarm intelligence algorithms. Scientific Reports.</w:t>
      </w:r>
      <w:r>
        <w:t xml:space="preserve"> </w:t>
      </w:r>
      <w:hyperlink r:id="rId34">
        <w:r>
          <w:rPr>
            <w:rStyle w:val="Hyperlink"/>
          </w:rPr>
          <w:t xml:space="preserve">https://doi.org/10.1038/s41598-022-17429-z</w:t>
        </w:r>
      </w:hyperlink>
    </w:p>
    <w:bookmarkEnd w:id="35"/>
    <w:bookmarkStart w:id="37" w:name="ref-Cao2020pavement"/>
    <w:p>
      <w:pPr>
        <w:pStyle w:val="Bibliography"/>
      </w:pPr>
      <w:r>
        <w:t xml:space="preserve">Cao, W., Liu, Q., He, Z., 2020. Review of pavement defect detection methods. IEEE Access.</w:t>
      </w:r>
      <w:r>
        <w:t xml:space="preserve"> </w:t>
      </w:r>
      <w:hyperlink r:id="rId36">
        <w:r>
          <w:rPr>
            <w:rStyle w:val="Hyperlink"/>
          </w:rPr>
          <w:t xml:space="preserve">https://doi.org/10.1109/access.2020.2966881</w:t>
        </w:r>
      </w:hyperlink>
    </w:p>
    <w:bookmarkEnd w:id="37"/>
    <w:bookmarkStart w:id="39" w:name="ref-Duan2024resilient"/>
    <w:p>
      <w:pPr>
        <w:pStyle w:val="Bibliography"/>
      </w:pPr>
      <w:r>
        <w:t xml:space="preserve">Duan, X., 2024. Assessment of resilient modulus of soil using hybrid extreme gradient boosting models. Scientific Reports.</w:t>
      </w:r>
      <w:r>
        <w:t xml:space="preserve"> </w:t>
      </w:r>
      <w:hyperlink r:id="rId38">
        <w:r>
          <w:rPr>
            <w:rStyle w:val="Hyperlink"/>
          </w:rPr>
          <w:t xml:space="preserve">https://doi.org/10.1038/s41598-024-81311-3</w:t>
        </w:r>
      </w:hyperlink>
    </w:p>
    <w:bookmarkEnd w:id="39"/>
    <w:bookmarkStart w:id="41" w:name="ref-Elbagalati2017neural"/>
    <w:p>
      <w:pPr>
        <w:pStyle w:val="Bibliography"/>
      </w:pPr>
      <w:r>
        <w:t xml:space="preserve">Elbagalati, O., Elseifi, M.A., Gaspard, K., others</w:t>
      </w:r>
      <w:r>
        <w:t xml:space="preserve">, 2017. Development of an artificial neural network model to predict subgrade resilient modulus from continuous deflection testing. Can. J. Civ. Eng.</w:t>
      </w:r>
      <w:r>
        <w:t xml:space="preserve"> </w:t>
      </w:r>
      <w:hyperlink r:id="rId40">
        <w:r>
          <w:rPr>
            <w:rStyle w:val="Hyperlink"/>
          </w:rPr>
          <w:t xml:space="preserve">https://doi.org/10.1139/cjce-2017-0132</w:t>
        </w:r>
      </w:hyperlink>
    </w:p>
    <w:bookmarkEnd w:id="41"/>
    <w:bookmarkStart w:id="43" w:name="ref-Ghanizadeh2020neural"/>
    <w:p>
      <w:pPr>
        <w:pStyle w:val="Bibliography"/>
      </w:pPr>
      <w:r>
        <w:t xml:space="preserve">Ghanizadeh, A.R., Heidarabadizadeh, N., Jalali, F., 2020. Artificial neural network back-calculation of flexible pavements with sensitivity analysis using garson’s and connection weights algorithms. Innov. Infrastruct. Solut.</w:t>
      </w:r>
      <w:r>
        <w:t xml:space="preserve"> </w:t>
      </w:r>
      <w:hyperlink r:id="rId42">
        <w:r>
          <w:rPr>
            <w:rStyle w:val="Hyperlink"/>
          </w:rPr>
          <w:t xml:space="preserve">https://doi.org/10.1007/s41062-020-00312-z</w:t>
        </w:r>
      </w:hyperlink>
    </w:p>
    <w:bookmarkEnd w:id="43"/>
    <w:bookmarkStart w:id="45" w:name="ref-Ghanizadeh2024formulation"/>
    <w:p>
      <w:pPr>
        <w:pStyle w:val="Bibliography"/>
      </w:pPr>
      <w:r>
        <w:t xml:space="preserve">Ghanizadeh, A.R., Tavana Amlashi, A., Bahrami, A., others</w:t>
      </w:r>
      <w:r>
        <w:t xml:space="preserve">, 2024. A formulation for asphalt concrete air void during service life by adopting a hybrid evolutionary polynomial regression and multi-gene genetic programming. Scientific Reports.</w:t>
      </w:r>
      <w:r>
        <w:t xml:space="preserve"> </w:t>
      </w:r>
      <w:hyperlink r:id="rId44">
        <w:r>
          <w:rPr>
            <w:rStyle w:val="Hyperlink"/>
          </w:rPr>
          <w:t xml:space="preserve">https://doi.org/10.1038/s41598-024-61313-x</w:t>
        </w:r>
      </w:hyperlink>
    </w:p>
    <w:bookmarkEnd w:id="45"/>
    <w:bookmarkStart w:id="47" w:name="ref-Gopalakrishnan2018learning"/>
    <w:p>
      <w:pPr>
        <w:pStyle w:val="Bibliography"/>
      </w:pPr>
      <w:r>
        <w:t xml:space="preserve">Gopalakrishnan, K., 2018. Deep learning in data-driven pavement image analysis and automated distress detection: A review. Data.</w:t>
      </w:r>
      <w:r>
        <w:t xml:space="preserve"> </w:t>
      </w:r>
      <w:hyperlink r:id="rId46">
        <w:r>
          <w:rPr>
            <w:rStyle w:val="Hyperlink"/>
          </w:rPr>
          <w:t xml:space="preserve">https://doi.org/10.3390/data3030028</w:t>
        </w:r>
      </w:hyperlink>
    </w:p>
    <w:bookmarkEnd w:id="47"/>
    <w:bookmarkStart w:id="49" w:name="ref-Hosseini2021accuracy"/>
    <w:p>
      <w:pPr>
        <w:pStyle w:val="Bibliography"/>
      </w:pPr>
      <w:r>
        <w:t xml:space="preserve">Hosseini, S.A., Smadi, O., 2021. How prediction accuracy can affect the decision-making process in pavement management system. Infrastructures.</w:t>
      </w:r>
      <w:r>
        <w:t xml:space="preserve"> </w:t>
      </w:r>
      <w:hyperlink r:id="rId48">
        <w:r>
          <w:rPr>
            <w:rStyle w:val="Hyperlink"/>
          </w:rPr>
          <w:t xml:space="preserve">https://doi.org/10.3390/infrastructures6020028</w:t>
        </w:r>
      </w:hyperlink>
    </w:p>
    <w:bookmarkEnd w:id="49"/>
    <w:bookmarkStart w:id="51" w:name="ref-MharziAlaoui2026algorithm"/>
    <w:p>
      <w:pPr>
        <w:pStyle w:val="Bibliography"/>
      </w:pPr>
      <w:r>
        <w:t xml:space="preserve">M’harzi Alaoui, F.e., Taki, Y., Aalil, I., others</w:t>
      </w:r>
      <w:r>
        <w:t xml:space="preserve">, 2026. From lab to algorithm: A review of AI-driven predictive modeling in soil stabilization for road construction. J. Umm Al-Qura Univ. Eng. Archit.</w:t>
      </w:r>
      <w:r>
        <w:t xml:space="preserve"> </w:t>
      </w:r>
      <w:hyperlink r:id="rId50">
        <w:r>
          <w:rPr>
            <w:rStyle w:val="Hyperlink"/>
          </w:rPr>
          <w:t xml:space="preserve">https://doi.org/10.1007/s43995-026-00294-6</w:t>
        </w:r>
      </w:hyperlink>
    </w:p>
    <w:bookmarkEnd w:id="51"/>
    <w:bookmarkStart w:id="53" w:name="ref-Pasupunuri2024roughness"/>
    <w:p>
      <w:pPr>
        <w:pStyle w:val="Bibliography"/>
      </w:pPr>
      <w:r>
        <w:t xml:space="preserve">Pasupunuri, S.K., Thom, N., Li, L., 2024. Roughness prediction of jointed plain concrete pavement using physics informed neural networks. Transportation Research Record.</w:t>
      </w:r>
      <w:r>
        <w:t xml:space="preserve"> </w:t>
      </w:r>
      <w:hyperlink r:id="rId52">
        <w:r>
          <w:rPr>
            <w:rStyle w:val="Hyperlink"/>
          </w:rPr>
          <w:t xml:space="preserve">https://doi.org/10.1177/03611981241245991</w:t>
        </w:r>
      </w:hyperlink>
    </w:p>
    <w:bookmarkEnd w:id="53"/>
    <w:bookmarkStart w:id="55" w:name="ref-Tamagusko2023learning"/>
    <w:p>
      <w:pPr>
        <w:pStyle w:val="Bibliography"/>
      </w:pPr>
      <w:r>
        <w:t xml:space="preserve">Tamagusko, T., Ferreira, A., 2023. Machine learning for prediction of the international roughness index on flexible pavements: A review, challenges, and future directions. Infrastructures.</w:t>
      </w:r>
      <w:r>
        <w:t xml:space="preserve"> </w:t>
      </w:r>
      <w:hyperlink r:id="rId54">
        <w:r>
          <w:rPr>
            <w:rStyle w:val="Hyperlink"/>
          </w:rPr>
          <w:t xml:space="preserve">https://doi.org/10.3390/infrastructures8120170</w:t>
        </w:r>
      </w:hyperlink>
    </w:p>
    <w:bookmarkEnd w:id="55"/>
    <w:bookmarkStart w:id="57" w:name="ref-Yang2021research"/>
    <w:p>
      <w:pPr>
        <w:pStyle w:val="Bibliography"/>
      </w:pPr>
      <w:r>
        <w:t xml:space="preserve">Yang, X., Guan, J., Ding, L., others</w:t>
      </w:r>
      <w:r>
        <w:t xml:space="preserve">, 2021. Research and applications of artificial neural network in pavement engineering: A state-of-the-art review. J. Traffic Transp. Eng. (Engl. Ed.).</w:t>
      </w:r>
      <w:r>
        <w:t xml:space="preserve"> </w:t>
      </w:r>
      <w:hyperlink r:id="rId56">
        <w:r>
          <w:rPr>
            <w:rStyle w:val="Hyperlink"/>
          </w:rPr>
          <w:t xml:space="preserve">https://doi.org/10.1016/j.jtte.2021.03.005</w:t>
        </w:r>
      </w:hyperlink>
    </w:p>
    <w:bookmarkEnd w:id="57"/>
    <w:bookmarkStart w:id="59" w:name="ref-Zeiada2025benchmarking"/>
    <w:p>
      <w:pPr>
        <w:pStyle w:val="Bibliography"/>
      </w:pPr>
      <w:r>
        <w:t xml:space="preserve">Zeiada, W., Obaid, L., El-Badawy, S.M., others</w:t>
      </w:r>
      <w:r>
        <w:t xml:space="preserve">, 2025. Benchmarking classical and deep machine learning models for predicting hot mix asphalt dynamic modulus. Civil Engineering Journal.</w:t>
      </w:r>
      <w:r>
        <w:t xml:space="preserve"> </w:t>
      </w:r>
      <w:hyperlink r:id="rId58">
        <w:r>
          <w:rPr>
            <w:rStyle w:val="Hyperlink"/>
          </w:rPr>
          <w:t xml:space="preserve">https://doi.org/10.28991/cej-2025-011-01-06</w:t>
        </w:r>
      </w:hyperlink>
    </w:p>
    <w:bookmarkEnd w:id="59"/>
    <w:bookmarkEnd w:id="60"/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2" Target="https://doi.org/10.1007/s41062-020-00312-z" TargetMode="External" /><Relationship Type="http://schemas.openxmlformats.org/officeDocument/2006/relationships/hyperlink" Id="rId50" Target="https://doi.org/10.1007/s43995-026-00294-6" TargetMode="External" /><Relationship Type="http://schemas.openxmlformats.org/officeDocument/2006/relationships/hyperlink" Id="rId56" Target="https://doi.org/10.1016/j.jtte.2021.03.005" TargetMode="External" /><Relationship Type="http://schemas.openxmlformats.org/officeDocument/2006/relationships/hyperlink" Id="rId34" Target="https://doi.org/10.1038/s41598-022-17429-z" TargetMode="External" /><Relationship Type="http://schemas.openxmlformats.org/officeDocument/2006/relationships/hyperlink" Id="rId44" Target="https://doi.org/10.1038/s41598-024-61313-x" TargetMode="External" /><Relationship Type="http://schemas.openxmlformats.org/officeDocument/2006/relationships/hyperlink" Id="rId38" Target="https://doi.org/10.1038/s41598-024-81311-3" TargetMode="External" /><Relationship Type="http://schemas.openxmlformats.org/officeDocument/2006/relationships/hyperlink" Id="rId36" Target="https://doi.org/10.1109/access.2020.2966881" TargetMode="External" /><Relationship Type="http://schemas.openxmlformats.org/officeDocument/2006/relationships/hyperlink" Id="rId40" Target="https://doi.org/10.1139/cjce-2017-0132" TargetMode="External" /><Relationship Type="http://schemas.openxmlformats.org/officeDocument/2006/relationships/hyperlink" Id="rId52" Target="https://doi.org/10.1177/03611981241245991" TargetMode="External" /><Relationship Type="http://schemas.openxmlformats.org/officeDocument/2006/relationships/hyperlink" Id="rId58" Target="https://doi.org/10.28991/cej-2025-011-01-06" TargetMode="External" /><Relationship Type="http://schemas.openxmlformats.org/officeDocument/2006/relationships/hyperlink" Id="rId46" Target="https://doi.org/10.3390/data3030028" TargetMode="External" /><Relationship Type="http://schemas.openxmlformats.org/officeDocument/2006/relationships/hyperlink" Id="rId48" Target="https://doi.org/10.3390/infrastructures6020028" TargetMode="External" /><Relationship Type="http://schemas.openxmlformats.org/officeDocument/2006/relationships/hyperlink" Id="rId54" Target="https://doi.org/10.3390/infrastructures812017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doi.org/10.1007/s41062-020-00312-z" TargetMode="External" /><Relationship Type="http://schemas.openxmlformats.org/officeDocument/2006/relationships/hyperlink" Id="rId50" Target="https://doi.org/10.1007/s43995-026-00294-6" TargetMode="External" /><Relationship Type="http://schemas.openxmlformats.org/officeDocument/2006/relationships/hyperlink" Id="rId56" Target="https://doi.org/10.1016/j.jtte.2021.03.005" TargetMode="External" /><Relationship Type="http://schemas.openxmlformats.org/officeDocument/2006/relationships/hyperlink" Id="rId34" Target="https://doi.org/10.1038/s41598-022-17429-z" TargetMode="External" /><Relationship Type="http://schemas.openxmlformats.org/officeDocument/2006/relationships/hyperlink" Id="rId44" Target="https://doi.org/10.1038/s41598-024-61313-x" TargetMode="External" /><Relationship Type="http://schemas.openxmlformats.org/officeDocument/2006/relationships/hyperlink" Id="rId38" Target="https://doi.org/10.1038/s41598-024-81311-3" TargetMode="External" /><Relationship Type="http://schemas.openxmlformats.org/officeDocument/2006/relationships/hyperlink" Id="rId36" Target="https://doi.org/10.1109/access.2020.2966881" TargetMode="External" /><Relationship Type="http://schemas.openxmlformats.org/officeDocument/2006/relationships/hyperlink" Id="rId40" Target="https://doi.org/10.1139/cjce-2017-0132" TargetMode="External" /><Relationship Type="http://schemas.openxmlformats.org/officeDocument/2006/relationships/hyperlink" Id="rId52" Target="https://doi.org/10.1177/03611981241245991" TargetMode="External" /><Relationship Type="http://schemas.openxmlformats.org/officeDocument/2006/relationships/hyperlink" Id="rId58" Target="https://doi.org/10.28991/cej-2025-011-01-06" TargetMode="External" /><Relationship Type="http://schemas.openxmlformats.org/officeDocument/2006/relationships/hyperlink" Id="rId46" Target="https://doi.org/10.3390/data3030028" TargetMode="External" /><Relationship Type="http://schemas.openxmlformats.org/officeDocument/2006/relationships/hyperlink" Id="rId48" Target="https://doi.org/10.3390/infrastructures6020028" TargetMode="External" /><Relationship Type="http://schemas.openxmlformats.org/officeDocument/2006/relationships/hyperlink" Id="rId54" Target="https://doi.org/10.3390/infrastructures8120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Hybridisation Pay? A Systematic Review of Metaheuristic Optimisation and Machine Learning Hybrids in Pavement Engineering (2005–2026)</dc:title>
  <dc:creator>Seyed Saber Naseralavi; Ali Reza Ghanizadeh</dc:creator>
  <cp:keywords>pavement engineering, metaheuristic optimisation, machine learning, hybrid models, systematic review, methodological rigour</cp:keywords>
  <dcterms:created xsi:type="dcterms:W3CDTF">2026-08-08T16:11:49Z</dcterms:created>
  <dcterms:modified xsi:type="dcterms:W3CDTF">2026-08-08T16:11:49Z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PLACEHOLDER — structured abstract, ~280 words, written last so that every number in it traces to the audit. Do not draft this before Section 9 is final.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sl">
    <vt:lpwstr>_extensions/quarto-journals/elsevier/bib/elsevier-harvard.csl</vt:lpwstr>
  </property>
  <property fmtid="{D5CDD505-2E9C-101B-9397-08002B2CF9AE}" pid="10" name="date">
    <vt:lpwstr>2026-08-08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