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5.png" ContentType="image/png"/>
  <Override PartName="/word/media/rId29.png" ContentType="image/png"/>
  <Override PartName="/word/media/rId38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 — structured abstract, ~280 words, written last so that every</w:t>
      </w:r>
      <w:r>
        <w:t xml:space="preserve"> </w:t>
      </w:r>
      <w:r>
        <w:t xml:space="preserve">number in it traces to the audit. Do not draft this before Section 9 is final.</w:t>
      </w:r>
    </w:p>
    <w:p>
      <w:pPr>
        <w:pStyle w:val="BlockText"/>
      </w:pPr>
      <w:r>
        <w:rPr>
          <w:b/>
          <w:bCs/>
        </w:rPr>
        <w:t xml:space="preserve">Draft status.</w:t>
      </w:r>
      <w:r>
        <w:t xml:space="preserve"> </w:t>
      </w:r>
      <w:r>
        <w:t xml:space="preserve">This file renders to PDF, Word and HTML from one source.</w:t>
      </w:r>
      <w:r>
        <w:t xml:space="preserve"> </w:t>
      </w:r>
      <w:r>
        <w:t xml:space="preserve">Sections marked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are not yet written. Every citation resolves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which is generated from</w:t>
      </w:r>
      <w:r>
        <w:t xml:space="preserve"> </w:t>
      </w:r>
      <w:r>
        <w:rPr>
          <w:rStyle w:val="VerbatimChar"/>
        </w:rPr>
        <w:t xml:space="preserve">data/seed_bibliography.csv</w:t>
      </w:r>
      <w:r>
        <w:t xml:space="preserve">; a citation key that is not in the verified</w:t>
      </w:r>
      <w:r>
        <w:t xml:space="preserve"> </w:t>
      </w:r>
      <w:r>
        <w:t xml:space="preserve">database fails the render rather than passing silently.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 — the baseline that would isolate what</w:t>
      </w:r>
      <w:r>
        <w:t xml:space="preserve"> </w:t>
      </w:r>
      <w:r>
        <w:t xml:space="preserve">the metaheuristic actually contributed. Where that comparison has been made, in the</w:t>
      </w:r>
      <w:r>
        <w:t xml:space="preserve"> </w:t>
      </w:r>
      <w:r>
        <w:t xml:space="preserve">small number of cases we have located so far, the hybrid’s advantage over a properly</w:t>
      </w:r>
      <w:r>
        <w:t xml:space="preserve"> </w:t>
      </w:r>
      <w:r>
        <w:t xml:space="preserve">tuned baseline 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tuned eight learners, including deep</w:t>
      </w:r>
      <w:r>
        <w:t xml:space="preserve"> </w:t>
      </w:r>
      <w:r>
        <w:t xml:space="preserve">architectures, against the Witczak and Hirsch mechanistic models for asphalt dynamic</w:t>
      </w:r>
      <w:r>
        <w:t xml:space="preserve"> </w:t>
      </w:r>
      <w:r>
        <w:t xml:space="preserve">modulus; the winner was a tuned bagging ensemble, not a hybrid and not a deep</w:t>
      </w:r>
      <w:r>
        <w:t xml:space="preserve"> </w:t>
      </w:r>
      <w:r>
        <w:t xml:space="preserve">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</w:t>
      </w:r>
      <w:r>
        <w:t xml:space="preserve"> </w:t>
      </w:r>
      <w:r>
        <w:t xml:space="preserve">one base learner against each other and report top-three results within a fraction</w:t>
      </w:r>
      <w:r>
        <w:t xml:space="preserve"> </w:t>
      </w:r>
      <w:r>
        <w:t xml:space="preserve">of a percentage point of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— a separation well inside what a different random</w:t>
      </w:r>
      <w:r>
        <w:t xml:space="preserve"> </w:t>
      </w:r>
      <w:r>
        <w:t xml:space="preserve">seed would produce — but never against a conventionally tuned version of the same</w:t>
      </w:r>
      <w:r>
        <w:t xml:space="preserve"> </w:t>
      </w:r>
      <w:r>
        <w:t xml:space="preserve">learner, so no premium can be read from the paper at all. These two studies, sitting</w:t>
      </w:r>
      <w:r>
        <w:t xml:space="preserve"> </w:t>
      </w:r>
      <w:r>
        <w:t xml:space="preserve">side by side in the same sub-field, illustrate the gap this review sets out to</w:t>
      </w:r>
      <w:r>
        <w:t xml:space="preserve"> </w:t>
      </w:r>
      <w:r>
        <w:t xml:space="preserve">measure at scale:</w:t>
      </w:r>
      <w:r>
        <w:t xml:space="preserve"> </w:t>
      </w:r>
      <w:r>
        <w:rPr>
          <w:b/>
          <w:bCs/>
        </w:rPr>
        <w:t xml:space="preserve">how often is the hybridisation premium — the gain attributable</w:t>
      </w:r>
      <w:r>
        <w:rPr>
          <w:b/>
          <w:bCs/>
        </w:rPr>
        <w:t xml:space="preserve"> </w:t>
      </w:r>
      <w:r>
        <w:rPr>
          <w:b/>
          <w:bCs/>
        </w:rPr>
        <w:t xml:space="preserve">to the coupling itself, over a fairly tuned baseline — actually reported, and how</w:t>
      </w:r>
      <w:r>
        <w:rPr>
          <w:b/>
          <w:bCs/>
        </w:rPr>
        <w:t xml:space="preserve"> </w:t>
      </w:r>
      <w:r>
        <w:rPr>
          <w:b/>
          <w:bCs/>
        </w:rPr>
        <w:t xml:space="preserve">large is it when it is?</w:t>
      </w:r>
    </w:p>
    <w:p>
      <w:pPr>
        <w:pStyle w:val="BodyText"/>
      </w:pPr>
      <w:r>
        <w:t xml:space="preserve">Answering this requires solving a prior problem, which turns out to be nontrivial in</w:t>
      </w:r>
      <w:r>
        <w:t xml:space="preserve"> </w:t>
      </w:r>
      <w:r>
        <w:t xml:space="preserve">its own right: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 relevant work, because many qualifying</w:t>
      </w:r>
      <w:r>
        <w:t xml:space="preserve"> </w:t>
      </w:r>
      <w:r>
        <w:t xml:space="preserve">studies describe themselves with the vocabulary of optimisation rather than of</w:t>
      </w:r>
      <w:r>
        <w:t xml:space="preserve"> </w:t>
      </w:r>
      <w:r>
        <w:t xml:space="preserve">hybridity —</w:t>
      </w:r>
      <w:r>
        <w:t xml:space="preserve"> </w:t>
      </w:r>
      <w:r>
        <w:t xml:space="preserve">“optimised”</w:t>
      </w:r>
      <w:r>
        <w:t xml:space="preserve">,</w:t>
      </w:r>
      <w:r>
        <w:t xml:space="preserve"> </w:t>
      </w:r>
      <w:r>
        <w:t xml:space="preserve">“improved”</w:t>
      </w:r>
      <w:r>
        <w:t xml:space="preserve">,</w:t>
      </w:r>
      <w:r>
        <w:t xml:space="preserve"> </w:t>
      </w:r>
      <w:r>
        <w:t xml:space="preserve">“novel X–Y”</w:t>
      </w:r>
      <w:r>
        <w:t xml:space="preserve"> </w:t>
      </w:r>
      <w:r>
        <w:t xml:space="preserve">or simply the two</w:t>
      </w:r>
      <w:r>
        <w:t xml:space="preserve"> </w:t>
      </w:r>
      <w:r>
        <w:t xml:space="preserve">algorithm names side by side. Alhussan et al.’s dipper-throated-optimisation random</w:t>
      </w:r>
      <w:r>
        <w:t xml:space="preserve"> </w:t>
      </w:r>
      <w:r>
        <w:t xml:space="preserve">forest for pothole classification is a case in point: widely cited, structurally a</w:t>
      </w:r>
      <w:r>
        <w:t xml:space="preserve"> </w:t>
      </w:r>
      <w:r>
        <w:t xml:space="preserve">textbook metaheuristic-on-learner hybrid, and retrievable by a search on algorithm</w:t>
      </w:r>
      <w:r>
        <w:t xml:space="preserve"> </w:t>
      </w:r>
      <w:r>
        <w:t xml:space="preserve">names but not reliably by a 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</w:t>
      </w:r>
      <w:r>
        <w:t xml:space="preserve"> </w:t>
      </w:r>
      <w:r>
        <w:t xml:space="preserve">the algorithm-driven search design this observation motivates, and reports, as one</w:t>
      </w:r>
      <w:r>
        <w:t xml:space="preserve"> </w:t>
      </w:r>
      <w:r>
        <w:t xml:space="preserve">of the review’s descriptive findings, what share of the eligible literature would</w:t>
      </w:r>
      <w:r>
        <w:t xml:space="preserve"> </w:t>
      </w:r>
      <w:r>
        <w:t xml:space="preserve">have been missed by a label-driven search alone.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— data provenance, model</w:t>
      </w:r>
      <w:r>
        <w:t xml:space="preserve"> </w:t>
      </w:r>
      <w:r>
        <w:t xml:space="preserve">performance, explanation quality, physical plausibility, decision utility —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§12. The honest distinction is not that this territory is unoccupied;</w:t>
      </w:r>
      <w:r>
        <w:t xml:space="preserve"> </w:t>
      </w:r>
      <w:r>
        <w:t xml:space="preserve">it is that Jweihan’s review is organised around explainability as the object of</w:t>
      </w:r>
      <w:r>
        <w:t xml:space="preserve"> </w:t>
      </w:r>
      <w:r>
        <w:t xml:space="preserve">study and conducted at scoping-review depth (breadth of coverage, not per-study</w:t>
      </w:r>
      <w:r>
        <w:t xml:space="preserve"> </w:t>
      </w:r>
      <w:r>
        <w:t xml:space="preserve">methodological coding), whereas the present review is organised around</w:t>
      </w:r>
      <w:r>
        <w:t xml:space="preserve"> </w:t>
      </w:r>
      <w:r>
        <w:t xml:space="preserve">hybridisation — the optimiser-learner coupling itself — as the object of study,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</w:t>
      </w:r>
      <w:r>
        <w:t xml:space="preserve"> </w:t>
      </w:r>
      <w:r>
        <w:t xml:space="preserve">as a quantified premium rather than as a coverage synthesis. Interpretability is one</w:t>
      </w:r>
      <w:r>
        <w:t xml:space="preserve"> </w:t>
      </w:r>
      <w:r>
        <w:t xml:space="preserve">of several PAVE-ML domains in this review, not its organising question; the two</w:t>
      </w:r>
      <w:r>
        <w:t xml:space="preserve"> </w:t>
      </w:r>
      <w:r>
        <w:t xml:space="preserve">instruments are complementary rather than competing, and §12 states explicitly</w:t>
      </w:r>
      <w:r>
        <w:t xml:space="preserve"> </w:t>
      </w:r>
      <w:r>
        <w:t xml:space="preserve">where PAVE-ML’s interpretability items and Jweihan’s five-layer framework agree and</w:t>
      </w:r>
      <w:r>
        <w:t xml:space="preserve"> </w:t>
      </w:r>
      <w:r>
        <w:t xml:space="preserve">where they diverge. What none of these three contributions does — and what remains</w:t>
      </w:r>
      <w:r>
        <w:t xml:space="preserve"> </w:t>
      </w:r>
      <w:r>
        <w:t xml:space="preserve">this review’s distinguishing claim —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absent.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stated scope, to be verified against</w:t>
            </w:r>
            <w:r>
              <w:t xml:space="preserve"> </w:t>
            </w:r>
            <w:r>
              <w:t xml:space="preserve">the completed manuscript at</w:t>
            </w:r>
            <w:r>
              <w:t xml:space="preserve"> </w:t>
            </w:r>
            <w:r>
              <w:t xml:space="preserve">submission.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(§12),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4" w:name="sec-method"/>
    <w:p>
      <w:pPr>
        <w:pStyle w:val="Heading1"/>
      </w:pPr>
      <w:r>
        <w:t xml:space="preserve">2. Review methodology</w:t>
      </w:r>
    </w:p>
    <w:p>
      <w:pPr>
        <w:pStyle w:val="FirstParagraph"/>
      </w:pPr>
      <w:r>
        <w:rPr>
          <w:i/>
          <w:iCs/>
        </w:rPr>
        <w:t xml:space="preserve">Full draft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docs/02_MANUSCRIPT_S2_methodology.md</w:t>
      </w:r>
      <w:r>
        <w:rPr>
          <w:i/>
          <w:iCs/>
        </w:rPr>
        <w:t xml:space="preserve">; transferred here section by</w:t>
      </w:r>
      <w:r>
        <w:rPr>
          <w:i/>
          <w:iCs/>
        </w:rPr>
        <w:t xml:space="preserve"> </w:t>
      </w:r>
      <w:r>
        <w:rPr>
          <w:i/>
          <w:iCs/>
        </w:rPr>
        <w:t xml:space="preserve">section as each is finalised.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22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16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, and from a 261-query</w:t>
      </w:r>
      <w:r>
        <w:t xml:space="preserve"> </w:t>
      </w:r>
      <w:r>
        <w:t xml:space="preserve">algorithmic search crossing metaheuristic-optimiser names, base-learner names and</w:t>
      </w:r>
      <w:r>
        <w:t xml:space="preserve"> </w:t>
      </w:r>
      <w:r>
        <w:t xml:space="preserve">legacy hybrid-labelled vocabulary against a mandatory pavement-terminology 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analysis/harvest_openalex.py</w:t>
      </w:r>
      <w:r>
        <w:t xml:space="preserve">; run against the Crossref API rather than OpenAlex</w:t>
      </w:r>
      <w:r>
        <w:t xml:space="preserve"> </w:t>
      </w:r>
      <w:r>
        <w:t xml:space="preserve">directly, see the Data Availability statement). The window runs from 1 January 2005</w:t>
      </w:r>
      <w:r>
        <w:t xml:space="preserve"> </w:t>
      </w:r>
      <w:r>
        <w:t xml:space="preserve">to 30 June 2026 — a date in the reader’s future at first glance, but not an error:</w:t>
      </w:r>
      <w:r>
        <w:t xml:space="preserve"> </w:t>
      </w:r>
      <w:r>
        <w:t xml:space="preserve">the corpus includes a meaningful number of 2025 and 2026 citations because</w:t>
      </w:r>
      <w:r>
        <w:t xml:space="preserve"> </w:t>
      </w:r>
      <w:r>
        <w:t xml:space="preserve">publishers now routinely assign a final year and DOI to an article at Online</w:t>
      </w:r>
      <w:r>
        <w:t xml:space="preserve"> </w:t>
      </w:r>
      <w:r>
        <w:t xml:space="preserve">First / Early Access publication, ahead of formal volume assignment, and every</w:t>
      </w:r>
      <w:r>
        <w:t xml:space="preserve"> </w:t>
      </w:r>
      <w:r>
        <w:t xml:space="preserve">such record here resolves to a live DOI (verified per the protocol in §2.3), not</w:t>
      </w:r>
      <w:r>
        <w:t xml:space="preserve"> </w:t>
      </w:r>
      <w:r>
        <w:t xml:space="preserve">a placeholder or a forecast.</w:t>
      </w:r>
      <w:r>
        <w:t xml:space="preserve"> </w:t>
      </w:r>
      <w:hyperlink w:anchor="fig-review-flow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reports the current, actual state of</w:t>
      </w:r>
      <w:r>
        <w:t xml:space="preserve"> </w:t>
      </w:r>
      <w:r>
        <w:t xml:space="preserve">this identification-and-screening pipeline — it is not a completed PRISMA 2020</w:t>
      </w:r>
      <w:r>
        <w:t xml:space="preserve"> </w:t>
      </w:r>
      <w:r>
        <w:t xml:space="preserve">flow diagram, because screening is not complete: every count in it is read</w:t>
      </w:r>
      <w:r>
        <w:t xml:space="preserve"> </w:t>
      </w:r>
      <w:r>
        <w:t xml:space="preserve">directly from the harvest logs and the working database, not projected or</w:t>
      </w:r>
      <w:r>
        <w:t xml:space="preserve"> </w:t>
      </w:r>
      <w:r>
        <w:t xml:space="preserve">estimated, and the figure is captioned accordingly.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review-flow"/>
          <w:p>
            <w:pPr>
              <w:pStyle w:val="Compact"/>
              <w:jc w:val="center"/>
            </w:pPr>
            <w:r>
              <w:drawing>
                <wp:inline>
                  <wp:extent cx="4533900" cy="5607092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ures/fig05_review_flow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56070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Review process status, reported as it actually stands rather than as a completed</w:t>
            </w:r>
            <w:r>
              <w:t xml:space="preserve"> </w:t>
            </w:r>
            <w:r>
              <w:t xml:space="preserve">PRISMA 2020 flow diagram — screening of the 2026 algorithmic harvest is ongoing, not</w:t>
            </w:r>
            <w:r>
              <w:t xml:space="preserve"> </w:t>
            </w:r>
            <w:r>
              <w:t xml:space="preserve">finished. Every count is read directly from the harvest logs and the working</w:t>
            </w:r>
            <w:r>
              <w:t xml:space="preserve"> </w:t>
            </w:r>
            <w:r>
              <w:t xml:space="preserve">database.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Khatti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Soils and Rocks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23"/>
    <w:bookmarkEnd w:id="24"/>
    <w:bookmarkStart w:id="33" w:name="sec-biblio"/>
    <w:p>
      <w:pPr>
        <w:pStyle w:val="Heading1"/>
      </w:pPr>
      <w:r>
        <w:t xml:space="preserve">3. Bibliometric landscape</w:t>
      </w:r>
    </w:p>
    <w:p>
      <w:pPr>
        <w:pStyle w:val="BlockText"/>
      </w:pPr>
      <w:r>
        <w:rPr>
          <w:b/>
          <w:bCs/>
        </w:rPr>
        <w:t xml:space="preserve">Status note.</w:t>
      </w:r>
      <w:r>
        <w:t xml:space="preserve"> </w:t>
      </w:r>
      <w:r>
        <w:t xml:space="preserve">The figures in this section describe the seed 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data/seed_bibliography.csv</w:t>
      </w:r>
      <w:r>
        <w:t xml:space="preserve">, n = 131 primary studies)</w:t>
      </w:r>
      <w:r>
        <w:t xml:space="preserve"> </w:t>
      </w:r>
      <w:r>
        <w:t xml:space="preserve">assembled during protocol development and taxonomy design, not the completed</w:t>
      </w:r>
      <w:r>
        <w:t xml:space="preserve"> </w:t>
      </w:r>
      <w:r>
        <w:t xml:space="preserve">systematic harvest. The full bibliometric analysis — publication trajectory,</w:t>
      </w:r>
      <w:r>
        <w:t xml:space="preserve"> </w:t>
      </w:r>
      <w:r>
        <w:t xml:space="preserve">architecture share over time, country co-authorship, venue concentration — is</w:t>
      </w:r>
      <w:r>
        <w:t xml:space="preserve"> </w:t>
      </w:r>
      <w:r>
        <w:t xml:space="preserve">deferred to the completed corpus and is not fabricated here from a partial</w:t>
      </w:r>
      <w:r>
        <w:t xml:space="preserve"> </w:t>
      </w:r>
      <w:r>
        <w:t xml:space="preserve">sample. What follows is reported explicitly as a seed-corpus snapshot, and in</w:t>
      </w:r>
      <w:r>
        <w:t xml:space="preserve"> </w:t>
      </w:r>
      <w:r>
        <w:t xml:space="preserve">particular the apparent concentration of records after 2020 (</w:t>
      </w:r>
      <w:hyperlink w:anchor="fig-year-trend">
        <w:r>
          <w:rPr>
            <w:rStyle w:val="Hyperlink"/>
          </w:rPr>
          <w:t xml:space="preserve">Figure 4</w:t>
        </w:r>
      </w:hyperlink>
      <w:r>
        <w:t xml:space="preserve">)</w:t>
      </w:r>
      <w:r>
        <w:t xml:space="preserve"> </w:t>
      </w:r>
      <w:r>
        <w:t xml:space="preserve">should be read as the yield of a targeted, taxonomy-driven search protocol,</w:t>
      </w:r>
      <w:r>
        <w:t xml:space="preserve"> </w:t>
      </w:r>
      <w:r>
        <w:t xml:space="preserve">not yet as a claim about the field’s true publication trajectory — a search</w:t>
      </w:r>
      <w:r>
        <w:t xml:space="preserve"> </w:t>
      </w:r>
      <w:r>
        <w:t xml:space="preserve">strategy built around specific optimiser and learner vocabulary can itself</w:t>
      </w:r>
      <w:r>
        <w:t xml:space="preserve"> </w:t>
      </w:r>
      <w:r>
        <w:t xml:space="preserve">produce a recency skew if that vocabulary became more common in recent years,</w:t>
      </w:r>
      <w:r>
        <w:t xml:space="preserve"> </w:t>
      </w:r>
      <w:r>
        <w:t xml:space="preserve">independent of any true change in publication volume, and the completed</w:t>
      </w:r>
      <w:r>
        <w:t xml:space="preserve"> </w:t>
      </w:r>
      <w:r>
        <w:t xml:space="preserve">harvest is what will distinguish the two.</w:t>
      </w:r>
    </w:p>
    <w:p>
      <w:pPr>
        <w:pStyle w:val="FirstParagraph"/>
      </w:pPr>
      <w:r>
        <w:t xml:space="preserve">Of the 131 primary studies coded so far,</w:t>
      </w:r>
      <w:r>
        <w:t xml:space="preserve"> </w:t>
      </w:r>
      <w:hyperlink w:anchor="fig-taxonomy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27</w:t>
      </w:r>
      <w:r>
        <w:t xml:space="preserve"> </w:t>
      </w:r>
      <w:r>
        <w:t xml:space="preserve">of 131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8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 trajectory; the completed</w:t>
            </w:r>
            <w:r>
              <w:t xml:space="preserve"> </w:t>
            </w:r>
            <w:r>
              <w:t xml:space="preserve">harvest will supersede this figure.</w:t>
            </w:r>
          </w:p>
          <w:bookmarkEnd w:id="32"/>
        </w:tc>
      </w:tr>
    </w:tbl>
    <w:bookmarkEnd w:id="33"/>
    <w:bookmarkStart w:id="35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35"/>
    <w:bookmarkStart w:id="36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(symbolic–numeric)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Duan</w:t>
      </w:r>
      <w:r>
        <w:t xml:space="preserve"> </w:t>
      </w:r>
      <w:r>
        <w:t xml:space="preserve">(Duan, 2024)</w:t>
      </w:r>
      <w:r>
        <w:t xml:space="preserve"> </w:t>
      </w:r>
      <w:r>
        <w:t xml:space="preserve">supplies a genuinely mixed case worth reading in full</w:t>
      </w:r>
      <w:r>
        <w:t xml:space="preserve"> </w:t>
      </w:r>
      <w:r>
        <w:t xml:space="preserve">rather than reducing to a single verdict, because full-text verification surfaces</w:t>
      </w:r>
      <w:r>
        <w:t xml:space="preserve"> </w:t>
      </w:r>
      <w:r>
        <w:t xml:space="preserve">both a real strength and a real gap in the same paper. On the positive side, the</w:t>
      </w:r>
      <w:r>
        <w:t xml:space="preserve"> </w:t>
      </w:r>
      <w:r>
        <w:t xml:space="preserve">metaheuristic-tuned BKA-XGBoost model (H1) reports its own search budget</w:t>
      </w:r>
      <w:r>
        <w:t xml:space="preserve"> </w:t>
      </w:r>
      <w:r>
        <w:t xml:space="preserve">explicitly (population 10, 20 iterations) and, unusually for this corpus, checks</w:t>
      </w:r>
      <w:r>
        <w:t xml:space="preserve"> </w:t>
      </w:r>
      <w:r>
        <w:t xml:space="preserve">its own reliability by reassembling the dataset ten times and reporting</w:t>
      </w:r>
      <w:r>
        <w:t xml:space="preserve"> </w:t>
      </w:r>
      <w:r>
        <w:t xml:space="preserve">performance across all ten combinations rather than a single best run — exactly</w:t>
      </w:r>
      <w:r>
        <w:t xml:space="preserve"> </w:t>
      </w:r>
      <w:r>
        <w:t xml:space="preserve">the repeated-run practice PAVE-ML item 12c asks for. The paper also states</w:t>
      </w:r>
      <w:r>
        <w:t xml:space="preserve"> </w:t>
      </w:r>
      <w:r>
        <w:t xml:space="preserve">outright, discussing four comparator models drawn from the literature, that</w:t>
      </w:r>
      <w:r>
        <w:t xml:space="preserve"> </w:t>
      </w:r>
      <w:r>
        <w:t xml:space="preserve">“direct performance comparisons are unconvincing”</w:t>
      </w:r>
      <w:r>
        <w:t xml:space="preserve"> </w:t>
      </w:r>
      <w:r>
        <w:t xml:space="preserve">because those models were</w:t>
      </w:r>
      <w:r>
        <w:t xml:space="preserve"> </w:t>
      </w:r>
      <w:r>
        <w:t xml:space="preserve">fitted on different datasets — an author-acknowledged version of the</w:t>
      </w:r>
      <w:r>
        <w:t xml:space="preserve"> </w:t>
      </w:r>
      <w:r>
        <w:t xml:space="preserve">cross-study comparability problem this review is built around, and one of the</w:t>
      </w:r>
      <w:r>
        <w:t xml:space="preserve"> </w:t>
      </w:r>
      <w:r>
        <w:t xml:space="preserve">only such acknowledgements found in the corpus so far. On the other side of the</w:t>
      </w:r>
      <w:r>
        <w:t xml:space="preserve"> </w:t>
      </w:r>
      <w:r>
        <w:t xml:space="preserve">same paper: the nine within-paper comparator models are given listed parameter</w:t>
      </w:r>
      <w:r>
        <w:t xml:space="preserve"> </w:t>
      </w:r>
      <w:r>
        <w:t xml:space="preserve">settings but no stated search budget, so whether they received tuning effort</w:t>
      </w:r>
      <w:r>
        <w:t xml:space="preserve"> </w:t>
      </w:r>
      <w:r>
        <w:t xml:space="preserve">comparable to BKA-XGBoost’s own cannot be confirmed from the text — and no</w:t>
      </w:r>
      <w:r>
        <w:t xml:space="preserve"> </w:t>
      </w:r>
      <w:r>
        <w:t xml:space="preserve">mechanistic resistance-modulus model is included as a comparator, so</w:t>
      </w:r>
      <w:r>
        <w:t xml:space="preserve"> </w:t>
      </w:r>
      <w:r>
        <w:t xml:space="preserve">baseline_strength codes moderate rather than strong despite the nine-model</w:t>
      </w:r>
      <w:r>
        <w:t xml:space="preserve"> </w:t>
      </w:r>
      <w:r>
        <w:t xml:space="preserve">comparison looking exhaustive at a glance. The lesson is the same one §11 draws</w:t>
      </w:r>
      <w:r>
        <w:t xml:space="preserve"> </w:t>
      </w:r>
      <w:r>
        <w:t xml:space="preserve">more generally: a paper can do real, citable work toward some PAVE-ML items while</w:t>
      </w:r>
      <w:r>
        <w:t xml:space="preserve"> </w:t>
      </w:r>
      <w:r>
        <w:t xml:space="preserve">leaving others exactly as unaddressed as the rest of the field.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36"/>
    <w:bookmarkStart w:id="37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sets up</w:t>
      </w:r>
      <w:r>
        <w:t xml:space="preserve"> </w:t>
      </w:r>
      <w:r>
        <w:t xml:space="preserve">a natural question for the completed review: does the metaheuristic-driven solver</w:t>
      </w:r>
      <w:r>
        <w:t xml:space="preserve"> </w:t>
      </w:r>
      <w:r>
        <w:t xml:space="preserve">in the later paper report an accuracy gain over the earlier ANN surrogate under a</w:t>
      </w:r>
      <w:r>
        <w:t xml:space="preserve"> </w:t>
      </w:r>
      <w:r>
        <w:t xml:space="preserve">comparable computational budget, and if so, of what size? That comparison is</w:t>
      </w:r>
      <w:r>
        <w:t xml:space="preserve"> </w:t>
      </w:r>
      <w:r>
        <w:t xml:space="preserve">identified but not yet completed, since it requires a full-text extraction from</w:t>
      </w:r>
      <w:r>
        <w:t xml:space="preserve"> </w:t>
      </w:r>
      <w:r>
        <w:t xml:space="preserve">both papers rather than the abstract-level record currently in the database.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37"/>
    <w:bookmarkStart w:id="42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— international roughness index, rutting,</w:t>
      </w:r>
      <w:r>
        <w:t xml:space="preserve"> </w:t>
      </w:r>
      <w:r>
        <w:t xml:space="preserve">cracking, faulting, remaining service life — is the sub-domain most heavily</w:t>
      </w:r>
      <w:r>
        <w:t xml:space="preserve"> </w:t>
      </w:r>
      <w:r>
        <w:t xml:space="preserve">dependent on the Long-Term Pavement Performance (LTPP) database in the seed corpus,</w:t>
      </w:r>
      <w:r>
        <w:t xml:space="preserve"> </w:t>
      </w:r>
      <w:r>
        <w:t xml:space="preserve">and correspondingly the sub-domain where the near-duplicate-substrate problem named</w:t>
      </w:r>
      <w:r>
        <w:t xml:space="preserve"> </w:t>
      </w:r>
      <w:r>
        <w:t xml:space="preserve">in the review methodology is most concrete rather than abstract. A single</w:t>
      </w:r>
      <w:r>
        <w:t xml:space="preserve"> </w:t>
      </w:r>
      <w:r>
        <w:t xml:space="preserve">overlapping author team — Alnaqbi, Zeiada and Al-Khateeb, joined variously by</w:t>
      </w:r>
      <w:r>
        <w:t xml:space="preserve"> </w:t>
      </w:r>
      <w:r>
        <w:t xml:space="preserve">Abuzwidah, Hamad and Barakat across different papers — has published at least</w:t>
      </w:r>
      <w:r>
        <w:t xml:space="preserve"> </w:t>
      </w:r>
      <w:r>
        <w:t xml:space="preserve">eight studies located so far, all drawing on what appears to be the same</w:t>
      </w:r>
      <w:r>
        <w:t xml:space="preserve"> </w:t>
      </w:r>
      <w:r>
        <w:t xml:space="preserve">approximately 33-section, 385–395-observation continuously-reinforced-concrete-</w:t>
      </w:r>
      <w:r>
        <w:t xml:space="preserve"> </w:t>
      </w:r>
      <w:r>
        <w:t xml:space="preserve">pavement substrate from LTPP, each pairing a different metaheuristic (chiefly PSO</w:t>
      </w:r>
      <w:r>
        <w:t xml:space="preserve"> </w:t>
      </w:r>
      <w:r>
        <w:t xml:space="preserve">or a genetic algorithm) with a different base learner (chiefly SVR or a gradient</w:t>
      </w:r>
      <w:r>
        <w:t xml:space="preserve"> </w:t>
      </w:r>
      <w:r>
        <w:t xml:space="preserve">boosting machine) to predict a different single target variable — international</w:t>
      </w:r>
      <w:r>
        <w:t xml:space="preserve"> </w:t>
      </w:r>
      <w:r>
        <w:t xml:space="preserve">roughness index</w:t>
      </w:r>
      <w:r>
        <w:t xml:space="preserve"> </w:t>
      </w:r>
      <w:r>
        <w:t xml:space="preserve">(Alnaqbi et al., 2025f, 2025e, 2025a)</w:t>
      </w:r>
      <w:r>
        <w:t xml:space="preserve">,</w:t>
      </w:r>
      <w:r>
        <w:t xml:space="preserve"> </w:t>
      </w:r>
      <w:r>
        <w:t xml:space="preserve">longitudinal cracking</w:t>
      </w:r>
      <w:r>
        <w:t xml:space="preserve"> </w:t>
      </w:r>
      <w:r>
        <w:t xml:space="preserve">(Alnaqbi et al., 2025d, 2025b)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 </w:t>
      </w:r>
      <w:r>
        <w:t xml:space="preserve">— each reported as a separate publication, each evaluated</w:t>
      </w:r>
      <w:r>
        <w:t xml:space="preserve"> </w:t>
      </w:r>
      <w:r>
        <w:t xml:space="preserve">by five-fold cross-validation, and each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 range. Two</w:t>
      </w:r>
      <w:r>
        <w:t xml:space="preserve"> </w:t>
      </w:r>
      <w:r>
        <w:t xml:space="preserve">pairs within this set differ from one another only in which metaheuristic tunes</w:t>
      </w:r>
      <w:r>
        <w:t xml:space="preserve"> </w:t>
      </w:r>
      <w:r>
        <w:t xml:space="preserve">the same base learner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both predict</w:t>
      </w:r>
      <w:r>
        <w:t xml:space="preserve"> </w:t>
      </w:r>
      <w:r>
        <w:t xml:space="preserve">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 on what the papers describe as the</w:t>
      </w:r>
      <w:r>
        <w:t xml:space="preserve"> </w:t>
      </w:r>
      <w:r>
        <w:t xml:space="preserve">identical 395-observation, 33-section pool.</w:t>
      </w:r>
    </w:p>
    <w:p>
      <w:pPr>
        <w:pStyle w:val="BodyText"/>
      </w:pPr>
      <w:r>
        <w:t xml:space="preserve">None of this is concealed —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</w:t>
      </w:r>
      <w:r>
        <w:t xml:space="preserve"> </w:t>
      </w:r>
      <w:r>
        <w:t xml:space="preserve">undiscussed. Full-text verification of the first two published members of the</w:t>
      </w:r>
      <w:r>
        <w:t xml:space="preserve"> </w:t>
      </w:r>
      <w:r>
        <w:t xml:space="preserve">series,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, confirms rather than</w:t>
      </w:r>
      <w:r>
        <w:t xml:space="preserve"> </w:t>
      </w:r>
      <w:r>
        <w:t xml:space="preserve">merely suspects the leakage concern, and confirms it identically in both papers</w:t>
      </w:r>
      <w:r>
        <w:t xml:space="preserve"> </w:t>
      </w:r>
      <w:r>
        <w:t xml:space="preserve">rather than once. The first states its partitioning plainly as</w:t>
      </w:r>
      <w:r>
        <w:t xml:space="preserve"> </w:t>
      </w:r>
      <w:r>
        <w:t xml:space="preserve">“the dataset was</w:t>
      </w:r>
      <w:r>
        <w:t xml:space="preserve"> </w:t>
      </w:r>
      <w:r>
        <w:t xml:space="preserve">split into 5 subsets, and the model was trained and tested 5 times, each time</w:t>
      </w:r>
      <w:r>
        <w:t xml:space="preserve"> </w:t>
      </w:r>
      <w:r>
        <w:t xml:space="preserve">using a different subset as the test set and the remaining subsets as the</w:t>
      </w:r>
      <w:r>
        <w:t xml:space="preserve"> </w:t>
      </w:r>
      <w:r>
        <w:t xml:space="preserve">training set”</w:t>
      </w:r>
      <w:r>
        <w:t xml:space="preserve">; the second, on a different target variable but the identical</w:t>
      </w:r>
      <w:r>
        <w:t xml:space="preserve"> </w:t>
      </w:r>
      <w:r>
        <w:t xml:space="preserve">395-observation, 33-section substrate, states it just as plainly as</w:t>
      </w:r>
      <w:r>
        <w:t xml:space="preserve"> </w:t>
      </w:r>
      <w:r>
        <w:t xml:space="preserve">“five</w:t>
      </w:r>
      <w:r>
        <w:t xml:space="preserve"> </w:t>
      </w:r>
      <w:r>
        <w:t xml:space="preserve">equal-sized subsets were randomly selected from the dataset… the training and</w:t>
      </w:r>
      <w:r>
        <w:t xml:space="preserve"> </w:t>
      </w:r>
      <w:r>
        <w:t xml:space="preserve">testing subsets were switched around in each iteration.”</w:t>
      </w:r>
      <w:r>
        <w:t xml:space="preserve"> </w:t>
      </w:r>
      <w:r>
        <w:t xml:space="preserve">Both are random splits</w:t>
      </w:r>
      <w:r>
        <w:t xml:space="preserve"> </w:t>
      </w:r>
      <w:r>
        <w:t xml:space="preserve">at the observation level, and neither methods section — read in full, not</w:t>
      </w:r>
      <w:r>
        <w:t xml:space="preserve"> </w:t>
      </w:r>
      <w:r>
        <w:t xml:space="preserve">excerpted — mentions grouping by the 33 physical CRCP sections the observations</w:t>
      </w:r>
      <w:r>
        <w:t xml:space="preserve"> </w:t>
      </w:r>
      <w:r>
        <w:t xml:space="preserve">are drawn from. With roughly twelve observations per section on average, an</w:t>
      </w:r>
      <w:r>
        <w:t xml:space="preserve"> </w:t>
      </w:r>
      <w:r>
        <w:t xml:space="preserve">ungrouped random split places multiple, highly correlated records from the same</w:t>
      </w:r>
      <w:r>
        <w:t xml:space="preserve"> </w:t>
      </w:r>
      <w:r>
        <w:t xml:space="preserve">physical section on both sides of most folds — precisely the leakage pathway the</w:t>
      </w:r>
      <w:r>
        <w:t xml:space="preserve"> </w:t>
      </w:r>
      <w:r>
        <w:t xml:space="preserve">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(§12) is written to catch. Both papers’</w:t>
      </w:r>
      <w:r>
        <w:t xml:space="preserve"> </w:t>
      </w:r>
      <w:r>
        <w:t xml:space="preserve">own</w:t>
      </w:r>
      <w:r>
        <w:t xml:space="preserve"> </w:t>
      </w:r>
      <w:r>
        <w:t xml:space="preserve">Limitations or Future Directions sections separately confirm the absence of</w:t>
      </w:r>
      <w:r>
        <w:t xml:space="preserve"> </w:t>
      </w:r>
      <w:r>
        <w:t xml:space="preserve">external validation in their own words — the first stating outright that</w:t>
      </w:r>
      <w:r>
        <w:t xml:space="preserve"> </w:t>
      </w:r>
      <w:r>
        <w:t xml:space="preserve">“no</w:t>
      </w:r>
      <w:r>
        <w:t xml:space="preserve"> </w:t>
      </w:r>
      <w:r>
        <w:t xml:space="preserve">independent testing was done using additional datasets,”</w:t>
      </w:r>
      <w:r>
        <w:t xml:space="preserve"> </w:t>
      </w:r>
      <w:r>
        <w:t xml:space="preserve">the second listing</w:t>
      </w:r>
      <w:r>
        <w:t xml:space="preserve"> </w:t>
      </w:r>
      <w:r>
        <w:t xml:space="preserve">“external dataset validation”</w:t>
      </w:r>
      <w:r>
        <w:t xml:space="preserve"> </w:t>
      </w:r>
      <w:r>
        <w:t xml:space="preserve">among unmet future work — which independently</w:t>
      </w:r>
      <w:r>
        <w:t xml:space="preserve"> </w:t>
      </w:r>
      <w:r>
        <w:t xml:space="preserve">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 under the criterion in §2.3 twice</w:t>
      </w:r>
      <w:r>
        <w:t xml:space="preserve"> </w:t>
      </w:r>
      <w:r>
        <w:t xml:space="preserve">over, rather than by the silence-as-absence convention alone. Worth noting for</w:t>
      </w:r>
      <w:r>
        <w:t xml:space="preserve"> </w:t>
      </w:r>
      <w:r>
        <w:t xml:space="preserve">what it reveals about how such concerns are currently addressed in this</w:t>
      </w:r>
      <w:r>
        <w:t xml:space="preserve"> </w:t>
      </w:r>
      <w:r>
        <w:t xml:space="preserve">literature: the first paper anticipates an overfitting objection and defends</w:t>
      </w:r>
      <w:r>
        <w:t xml:space="preserve"> </w:t>
      </w:r>
      <w:r>
        <w:t xml:space="preserve">against it by observing that RMSE stays within a narrow band across folds</w:t>
      </w:r>
      <w:r>
        <w:t xml:space="preserve"> </w:t>
      </w:r>
      <w:r>
        <w:t xml:space="preserve">(0.02791–0.06422) — but fold-to-fold consistency is not evidence against the</w:t>
      </w:r>
      <w:r>
        <w:t xml:space="preserve"> </w:t>
      </w:r>
      <w:r>
        <w:t xml:space="preserve">leakage pathway just described, since every fold would share the same</w:t>
      </w:r>
      <w:r>
        <w:t xml:space="preserve"> </w:t>
      </w:r>
      <w:r>
        <w:t xml:space="preserve">section-level contamination and so would be expected to perform similarly</w:t>
      </w:r>
      <w:r>
        <w:t xml:space="preserve"> </w:t>
      </w:r>
      <w:r>
        <w:t xml:space="preserve">whether or not the model has learned anything section-specific.</w:t>
      </w:r>
      <w:r>
        <w:t xml:space="preserve"> </w:t>
      </w:r>
      <w:hyperlink w:anchor="fig-leakag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makes the mechanism concrete: with roughly twelve observations per section, an</w:t>
      </w:r>
      <w:r>
        <w:t xml:space="preserve"> </w:t>
      </w:r>
      <w:r>
        <w:t xml:space="preserve">ungrouped random assignment (Panel A) all but guarantees that most sections</w:t>
      </w:r>
      <w:r>
        <w:t xml:space="preserve"> </w:t>
      </w:r>
      <w:r>
        <w:t xml:space="preserve">contribute records to more than one fold, so a model can be trained on 10–11 of a</w:t>
      </w:r>
      <w:r>
        <w:t xml:space="preserve"> </w:t>
      </w:r>
      <w:r>
        <w:t xml:space="preserve">section’s 12 observations and then</w:t>
      </w:r>
      <w:r>
        <w:t xml:space="preserve"> </w:t>
      </w:r>
      <w:r>
        <w:t xml:space="preserve">“tested”</w:t>
      </w:r>
      <w:r>
        <w:t xml:space="preserve"> </w:t>
      </w:r>
      <w:r>
        <w:t xml:space="preserve">on the 12th — a near-duplicate,</w:t>
      </w:r>
      <w:r>
        <w:t xml:space="preserve"> </w:t>
      </w:r>
      <w:r>
        <w:t xml:space="preserve">spatially correlated record rather than a genuinely unseen one. A section-grouped</w:t>
      </w:r>
      <w:r>
        <w:t xml:space="preserve"> </w:t>
      </w:r>
      <w:r>
        <w:t xml:space="preserve">assignment (Panel B), which the reviewed papers’ methods sections do not describe</w:t>
      </w:r>
      <w:r>
        <w:t xml:space="preserve"> </w:t>
      </w:r>
      <w:r>
        <w:t xml:space="preserve">using, holds each section entirely within one fold, so the test fold contains no</w:t>
      </w:r>
      <w:r>
        <w:t xml:space="preserve"> </w:t>
      </w:r>
      <w:r>
        <w:t xml:space="preserve">information the model could have seen during training.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leakage"/>
          <w:p>
            <w:pPr>
              <w:pStyle w:val="Compact"/>
              <w:jc w:val="center"/>
            </w:pPr>
            <w:r>
              <w:drawing>
                <wp:inline>
                  <wp:extent cx="5067300" cy="3901228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figures/fig04_leakage_diagram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3901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Random versus section-grouped 5-fold cross-validation on a 33-section, ~12-observation-per-section</w:t>
            </w:r>
            <w:r>
              <w:t xml:space="preserve"> </w:t>
            </w:r>
            <w:r>
              <w:t xml:space="preserve">substrate matching the CRCP data audited in this section. Panel A reproduces the</w:t>
            </w:r>
            <w:r>
              <w:t xml:space="preserve"> </w:t>
            </w:r>
            <w:r>
              <w:t xml:space="preserve">partitioning</w:t>
            </w:r>
            <w:r>
              <w:t xml:space="preserve"> </w:t>
            </w:r>
            <w:r>
              <w:t xml:space="preserve">Alnaqbi et al. (2025f)</w:t>
            </w:r>
            <w:r>
              <w:t xml:space="preserve">’s methods section describes; Panel B shows the</w:t>
            </w:r>
            <w:r>
              <w:t xml:space="preserve"> </w:t>
            </w:r>
            <w:r>
              <w:t xml:space="preserve">section-grouped alternative not used in the reviewed</w:t>
            </w:r>
            <w:r>
              <w:t xml:space="preserve"> </w:t>
            </w:r>
            <w:r>
              <w:t xml:space="preserve">papers.</w:t>
            </w:r>
          </w:p>
          <w:bookmarkEnd w:id="41"/>
        </w:tc>
      </w:tr>
    </w:tbl>
    <w:p>
      <w:pPr>
        <w:pStyle w:val="BodyText"/>
      </w:pPr>
      <w:r>
        <w:t xml:space="preserve">Both papers also</w:t>
      </w:r>
      <w:r>
        <w:t xml:space="preserve"> </w:t>
      </w:r>
      <w:r>
        <w:t xml:space="preserve">describe z-score normalisation, imputation and outlier removal within a single</w:t>
      </w:r>
      <w:r>
        <w:t xml:space="preserve"> </w:t>
      </w:r>
      <w:r>
        <w:t xml:space="preserve">“data preprocessing”</w:t>
      </w:r>
      <w:r>
        <w:t xml:space="preserve"> </w:t>
      </w:r>
      <w:r>
        <w:t xml:space="preserve">stage that textually precedes the cross-validation</w:t>
      </w:r>
      <w:r>
        <w:t xml:space="preserve"> </w:t>
      </w:r>
      <w:r>
        <w:t xml:space="preserve">description, with no statement in either that these steps were refit inside each</w:t>
      </w:r>
      <w:r>
        <w:t xml:space="preserve"> </w:t>
      </w:r>
      <w:r>
        <w:t xml:space="preserve">fold rather than computed once over the full pool. The remaining six papers in</w:t>
      </w:r>
      <w:r>
        <w:t xml:space="preserve"> </w:t>
      </w:r>
      <w:r>
        <w:t xml:space="preserve">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 full-text check now completed,</w:t>
      </w:r>
      <w:r>
        <w:t xml:space="preserve"> </w:t>
      </w:r>
      <w:r>
        <w:t xml:space="preserve">identically, for the first two; nothing in their abstracts suggests a different</w:t>
      </w:r>
      <w:r>
        <w:t xml:space="preserve"> </w:t>
      </w:r>
      <w:r>
        <w:t xml:space="preserve">partitioning procedure was used, and two independent confirmations make that a</w:t>
      </w:r>
      <w:r>
        <w:t xml:space="preserve"> </w:t>
      </w:r>
      <w:r>
        <w:t xml:space="preserve">considerably stronger prior than one.</w:t>
      </w:r>
    </w:p>
    <w:p>
      <w:pPr>
        <w:pStyle w:val="BodyText"/>
      </w:pPr>
      <w:r>
        <w:t xml:space="preserve">Two further pieces of evidence extend the pattern beyond one author team, and one</w:t>
      </w:r>
      <w:r>
        <w:t xml:space="preserve"> </w:t>
      </w:r>
      <w:r>
        <w:t xml:space="preserve">of them is now full-text confirmed rather than ambiguous. Xiao et al.’s</w:t>
      </w:r>
      <w:r>
        <w:t xml:space="preserve"> </w:t>
      </w:r>
      <w:r>
        <w:t xml:space="preserve">TPE-CatBoost faulting model</w:t>
      </w:r>
      <w:r>
        <w:t xml:space="preserve"> </w:t>
      </w:r>
      <w:r>
        <w:t xml:space="preserve">(Xiao et al., 2023)</w:t>
      </w:r>
      <w:r>
        <w:t xml:space="preserve">, read in full, resolves its</w:t>
      </w:r>
      <w:r>
        <w:t xml:space="preserve"> </w:t>
      </w:r>
      <w:r>
        <w:t xml:space="preserve">own ambiguity definitively: the paper’s Boruta feature-selection step is</w:t>
      </w:r>
      <w:r>
        <w:t xml:space="preserve"> </w:t>
      </w:r>
      <w:r>
        <w:t xml:space="preserve">performed in Section 3 (</w:t>
      </w:r>
      <w:r>
        <w:t xml:space="preserve">“Data Preparation”</w:t>
      </w:r>
      <w:r>
        <w:t xml:space="preserve">), applied to the full 160-observation</w:t>
      </w:r>
      <w:r>
        <w:t xml:space="preserve"> </w:t>
      </w:r>
      <w:r>
        <w:t xml:space="preserve">pool, and only in Section 4 (</w:t>
      </w:r>
      <w:r>
        <w:t xml:space="preserve">“Model Construction”</w:t>
      </w:r>
      <w:r>
        <w:t xml:space="preserve">) does an 80/20 train-test split</w:t>
      </w:r>
      <w:r>
        <w:t xml:space="preserve"> </w:t>
      </w:r>
      <w:r>
        <w:t xml:space="preserve">appear — meaning Boruta selected the six variables the final model uses with the</w:t>
      </w:r>
      <w:r>
        <w:t xml:space="preserve"> </w:t>
      </w:r>
      <w:r>
        <w:t xml:space="preserve">benefit of information from what later became the test partition. This is a</w:t>
      </w:r>
      <w:r>
        <w:t xml:space="preserve"> </w:t>
      </w:r>
      <w:r>
        <w:t xml:space="preserve">different leakage mechanism from the CRCP series above — a real held-out test</w:t>
      </w:r>
      <w:r>
        <w:t xml:space="preserve"> </w:t>
      </w:r>
      <w:r>
        <w:t xml:space="preserve">set exists here, contaminated only by feature selection performed before the</w:t>
      </w:r>
      <w:r>
        <w:t xml:space="preserve"> </w:t>
      </w:r>
      <w:r>
        <w:t xml:space="preserve">split, rather than an entirely ungrouped cross-validation — and the paper’s own</w:t>
      </w:r>
      <w:r>
        <w:t xml:space="preserve"> </w:t>
      </w:r>
      <w:r>
        <w:t xml:space="preserve">conclusion attributes part of its headline result directly to the contaminated</w:t>
      </w:r>
      <w:r>
        <w:t xml:space="preserve"> </w:t>
      </w:r>
      <w:r>
        <w:t xml:space="preserve">step: the six-variable model improves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by 0.007 over the seventeen-variable</w:t>
      </w:r>
      <w:r>
        <w:t xml:space="preserve"> </w:t>
      </w:r>
      <w:r>
        <w:t xml:space="preserve">version,</w:t>
      </w:r>
      <w:r>
        <w:t xml:space="preserve"> </w:t>
      </w:r>
      <w:r>
        <w:t xml:space="preserve">“attributed to the capability of Boruta to identify relevant</w:t>
      </w:r>
      <w:r>
        <w:t xml:space="preserve"> </w:t>
      </w:r>
      <w:r>
        <w:t xml:space="preserve">variables.”</w:t>
      </w:r>
      <w:r>
        <w:t xml:space="preserve"> </w:t>
      </w:r>
      <w:r>
        <w:t xml:space="preserve">The two mechanisms, read together, make the point this review is</w:t>
      </w:r>
      <w:r>
        <w:t xml:space="preserve"> </w:t>
      </w:r>
      <w:r>
        <w:t xml:space="preserve">built to make more sharply than either alone: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in PAVE-ML (§12)</w:t>
      </w:r>
      <w:r>
        <w:t xml:space="preserve"> </w:t>
      </w:r>
      <w:r>
        <w:t xml:space="preserve">catches structurally different failures — no partition grouping in one case,</w:t>
      </w:r>
      <w:r>
        <w:t xml:space="preserve"> </w:t>
      </w:r>
      <w:r>
        <w:t xml:space="preserve">preprocessing fitted before the partition in the other — under a single item,</w:t>
      </w:r>
      <w:r>
        <w:t xml:space="preserve"> </w:t>
      </w:r>
      <w:r>
        <w:t xml:space="preserve">which is exactly why the item is framed around the outcome (does information</w:t>
      </w:r>
      <w:r>
        <w:t xml:space="preserve"> </w:t>
      </w:r>
      <w:r>
        <w:t xml:space="preserve">from the test set influence training) rather than around one specific</w:t>
      </w:r>
      <w:r>
        <w:t xml:space="preserve"> </w:t>
      </w:r>
      <w:r>
        <w:t xml:space="preserve">mechanism. A citation search while verifying this paper separately surfaced a</w:t>
      </w:r>
      <w:r>
        <w:t xml:space="preserve"> </w:t>
      </w:r>
      <w:r>
        <w:t xml:space="preserve">second, seemingly independent overlapping-author cluster — Wang, Xiao and Liu</w:t>
      </w:r>
      <w:r>
        <w:t xml:space="preserve"> </w:t>
      </w:r>
      <w:r>
        <w:t xml:space="preserve">(Wang et al., 2023)</w:t>
      </w:r>
      <w:r>
        <w:t xml:space="preserve">, sharing two of the same three surnames as the</w:t>
      </w:r>
      <w:r>
        <w:t xml:space="preserve"> </w:t>
      </w:r>
      <w:r>
        <w:t xml:space="preserve">TPE-CatBoost paper — publishing a separate improved-XGBoost model for rigid</w:t>
      </w:r>
      <w:r>
        <w:t xml:space="preserve"> </w:t>
      </w:r>
      <w:r>
        <w:t xml:space="preserve">pavement IRI on what appears to be a related LTPP substrate. Whether this is a</w:t>
      </w:r>
      <w:r>
        <w:t xml:space="preserve"> </w:t>
      </w:r>
      <w:r>
        <w:t xml:space="preserve">second, independent instance of the single-target-per-paper pattern or reflects</w:t>
      </w:r>
      <w:r>
        <w:t xml:space="preserve"> </w:t>
      </w:r>
      <w:r>
        <w:t xml:space="preserve">overlapping personnel with the first cluster is a question the completed harvest,</w:t>
      </w:r>
      <w:r>
        <w:t xml:space="preserve"> </w:t>
      </w:r>
      <w:r>
        <w:t xml:space="preserve">not this seed corpus, is positioned to answer.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now large enough</w:t>
      </w:r>
      <w:r>
        <w:t xml:space="preserve"> </w:t>
      </w:r>
      <w:r>
        <w:t xml:space="preserve">— eight identified papers, two of them full-text-confirmed rather than only</w:t>
      </w:r>
      <w:r>
        <w:t xml:space="preserve"> </w:t>
      </w:r>
      <w:r>
        <w:t xml:space="preserve">abstract-flagged, likely more once the full harvest is complete — that the</w:t>
      </w:r>
      <w:r>
        <w:t xml:space="preserve"> </w:t>
      </w:r>
      <w:r>
        <w:t xml:space="preserve">completed review can report a systematic, partly-verified finding rather than</w:t>
      </w:r>
      <w:r>
        <w:t xml:space="preserve"> </w:t>
      </w:r>
      <w:r>
        <w:t xml:space="preserve">gesture at a concern: what fraction of this specific author team’s</w:t>
      </w:r>
      <w:r>
        <w:t xml:space="preserve"> </w:t>
      </w:r>
      <w:r>
        <w:t xml:space="preserve">substrate-sharing series groups its cross-validation folds by section, once every</w:t>
      </w:r>
      <w:r>
        <w:t xml:space="preserve"> </w:t>
      </w:r>
      <w:r>
        <w:t xml:space="preserve">remaining paper’s methods section has been read with the same care as the first.</w:t>
      </w:r>
      <w:r>
        <w:t xml:space="preserve"> </w:t>
      </w:r>
      <w:r>
        <w:t xml:space="preserve">Second, the pattern usefully illustrates a broader point</w:t>
      </w:r>
      <w:r>
        <w:t xml:space="preserve"> </w:t>
      </w:r>
      <w:r>
        <w:t xml:space="preserve">this review returns to in §11: an unlimited supply of near-identical papers</w:t>
      </w:r>
      <w:r>
        <w:t xml:space="preserve"> </w:t>
      </w:r>
      <w:r>
        <w:t xml:space="preserve">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 physical objects, whatever its</w:t>
      </w:r>
      <w:r>
        <w:t xml:space="preserve"> </w:t>
      </w:r>
      <w:r>
        <w:t xml:space="preserve">cause, produces exactly the appearance of a mature and thoroughly validated</w:t>
      </w:r>
      <w:r>
        <w:t xml:space="preserve"> </w:t>
      </w:r>
      <w:r>
        <w:t xml:space="preserve">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§12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42"/>
    <w:bookmarkStart w:id="43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(H3–H7)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 This asymmetry is worth naming plainly rather than only</w:t>
      </w:r>
      <w:r>
        <w:t xml:space="preserve"> </w:t>
      </w:r>
      <w:r>
        <w:t xml:space="preserve">implying: H1 (28 primary studies as of this draft, §3/</w:t>
      </w:r>
      <w:hyperlink w:anchor="fig-taxonomy">
        <w:r>
          <w:rPr>
            <w:rStyle w:val="Hyperlink"/>
          </w:rPr>
          <w:t xml:space="preserve">Figure 3</w:t>
        </w:r>
      </w:hyperlink>
      <w:r>
        <w:t xml:space="preserve">) is</w:t>
      </w:r>
      <w:r>
        <w:t xml:space="preserve"> </w:t>
      </w:r>
      <w:r>
        <w:t xml:space="preserve">substantially better sampled than H3, H4, H5 or H6 individually (roughly 6–11</w:t>
      </w:r>
      <w:r>
        <w:t xml:space="preserve"> </w:t>
      </w:r>
      <w:r>
        <w:t xml:space="preserve">records each), partly because the field genuinely produces more H1 studies and</w:t>
      </w:r>
      <w:r>
        <w:t xml:space="preserve"> </w:t>
      </w:r>
      <w:r>
        <w:t xml:space="preserve">partly because H1 and H7 titles are unusually easy to find and code with</w:t>
      </w:r>
      <w:r>
        <w:t xml:space="preserve"> </w:t>
      </w:r>
      <w:r>
        <w:t xml:space="preserve">confidence from a title alone (§2.3), which biases what a search protocol like</w:t>
      </w:r>
      <w:r>
        <w:t xml:space="preserve"> </w:t>
      </w:r>
      <w:r>
        <w:t xml:space="preserve">this one’s surfaces first. The characteristic-failure-mode claims made below for</w:t>
      </w:r>
      <w:r>
        <w:t xml:space="preserve"> </w:t>
      </w:r>
      <w:r>
        <w:t xml:space="preserve">H3–H7 are drawn from real, verified records, not fabricated — but a claim resting</w:t>
      </w:r>
      <w:r>
        <w:t xml:space="preserve"> </w:t>
      </w:r>
      <w:r>
        <w:t xml:space="preserve">on 6–11 records carries less weight than one resting on 28, and should be read</w:t>
      </w:r>
      <w:r>
        <w:t xml:space="preserve"> </w:t>
      </w:r>
      <w:r>
        <w:t xml:space="preserve">as a documented pattern within the current sample rather than a settled</w:t>
      </w:r>
      <w:r>
        <w:t xml:space="preserve"> </w:t>
      </w:r>
      <w:r>
        <w:t xml:space="preserve">distributional fact about the field, until the completed corpus can say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 discussed in detail below, plus four further</w:t>
      </w:r>
      <w:r>
        <w:t xml:space="preserve"> </w:t>
      </w:r>
      <w:r>
        <w:t xml:space="preserve">CNN–transformer crack-detection studies added from a 2026 harvest pass</w:t>
      </w:r>
      <w:r>
        <w:t xml:space="preserve"> </w:t>
      </w:r>
      <w:r>
        <w:t xml:space="preserve">(Deng et al., 2025; Guo et al., 2023; Luo et al., 2023; Zhang et al., 2026)</w:t>
      </w:r>
      <w:r>
        <w:t xml:space="preserve"> </w:t>
      </w:r>
      <w:r>
        <w:t xml:space="preserve">that were</w:t>
      </w:r>
      <w:r>
        <w:t xml:space="preserve"> </w:t>
      </w:r>
      <w:r>
        <w:t xml:space="preserve">search- or title-confirmed rather than full-text verified — together they show the</w:t>
      </w:r>
      <w:r>
        <w:t xml:space="preserve"> </w:t>
      </w:r>
      <w:r>
        <w:t xml:space="preserve">CNN+transformer fusion pattern recurring from 2023 through 2026 rather than</w:t>
      </w:r>
      <w:r>
        <w:t xml:space="preserve"> </w:t>
      </w:r>
      <w:r>
        <w:t xml:space="preserve">appearing once. The best-cited of the four, Guo et al.’s Swin-Transformer-encoder,</w:t>
      </w:r>
      <w:r>
        <w:t xml:space="preserve"> </w:t>
      </w:r>
      <w:r>
        <w:t xml:space="preserve">attention-augmented-UperNet-decoder network</w:t>
      </w:r>
      <w:r>
        <w:t xml:space="preserve"> </w:t>
      </w:r>
      <w:r>
        <w:t xml:space="preserve">(Guo et al., 2023)</w:t>
      </w:r>
      <w:r>
        <w:t xml:space="preserve">, reports 102</w:t>
      </w:r>
      <w:r>
        <w:t xml:space="preserve"> </w:t>
      </w:r>
      <w:r>
        <w:t xml:space="preserve">citations at the time of writing — more than any other H4 record in the corpus —</w:t>
      </w:r>
      <w:r>
        <w:t xml:space="preserve"> </w:t>
      </w:r>
      <w:r>
        <w:t xml:space="preserve">and an explicit within-paper comparison against CNN-only baselines, which is the</w:t>
      </w:r>
      <w:r>
        <w:t xml:space="preserve"> </w:t>
      </w:r>
      <w:r>
        <w:t xml:space="preserve">staged-ablation pattern this section otherwise has to go looking for. Sun et al.’s</w:t>
      </w:r>
      <w:r>
        <w:t xml:space="preserve"> </w:t>
      </w:r>
      <w:r>
        <w:t xml:space="preserve">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 — full-text</w:t>
      </w:r>
      <w:r>
        <w:t xml:space="preserve"> </w:t>
      </w:r>
      <w:r>
        <w:t xml:space="preserve">verification confirms the design does what its abstract claims, with a formal</w:t>
      </w:r>
      <w:r>
        <w:t xml:space="preserve"> </w:t>
      </w:r>
      <w:r>
        <w:t xml:space="preserve">description of the fold structure matching a textbook leakage-safe stacking</w:t>
      </w:r>
      <w:r>
        <w:t xml:space="preserve"> </w:t>
      </w:r>
      <w:r>
        <w:t xml:space="preserve">implementation — and is cited throughout this review (§9, §12) as the type’s</w:t>
      </w:r>
      <w:r>
        <w:t xml:space="preserve"> </w:t>
      </w:r>
      <w:r>
        <w:t xml:space="preserve">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</w:t>
      </w:r>
      <w:r>
        <w:t xml:space="preserve"> </w:t>
      </w:r>
      <w:r>
        <w:t xml:space="preserve">tunnel pavement performance within a digital-twin framework and report strong</w:t>
      </w:r>
      <w:r>
        <w:t xml:space="preserve"> </w:t>
      </w:r>
      <w:r>
        <w:t xml:space="preserve">deployment integration, but without the explicit leakage-avoidance statement</w:t>
      </w:r>
      <w:r>
        <w:t xml:space="preserve"> </w:t>
      </w:r>
      <w:r>
        <w:t xml:space="preserve">that distinguishes Huang et al.’s design. Four further stacking studies from the</w:t>
      </w:r>
      <w:r>
        <w:t xml:space="preserve"> </w:t>
      </w:r>
      <w:r>
        <w:t xml:space="preserve">2026 harvest pass</w:t>
      </w:r>
      <w:r>
        <w:t xml:space="preserve"> </w:t>
      </w:r>
      <w:r>
        <w:t xml:space="preserve">(Guan et al., 2025; Gupta and Kumar, 2026; Peng et al., 2026; Wang et al., 2025)</w:t>
      </w:r>
      <w:r>
        <w:t xml:space="preserve"> </w:t>
      </w:r>
      <w:r>
        <w:t xml:space="preserve">are coded H5; the last of these is search-confirmed rather than</w:t>
      </w:r>
      <w:r>
        <w:t xml:space="preserve"> </w:t>
      </w:r>
      <w:r>
        <w:t xml:space="preserve">title-only — Peng et al. name their base and meta-models explicitly (ridge</w:t>
      </w:r>
      <w:r>
        <w:t xml:space="preserve"> </w:t>
      </w:r>
      <w:r>
        <w:t xml:space="preserve">regression, k-NN, MLP and random forest stacked under an SVM meta-learner) and</w:t>
      </w:r>
      <w:r>
        <w:t xml:space="preserve"> </w:t>
      </w:r>
      <w:r>
        <w:t xml:space="preserve">report lower variance and bias for the stacked model than for the individual base</w:t>
      </w:r>
      <w:r>
        <w:t xml:space="preserve"> </w:t>
      </w:r>
      <w:r>
        <w:t xml:space="preserve">models, though the exact comparator protocol still needs full-text confirmation</w:t>
      </w:r>
      <w:r>
        <w:t xml:space="preserve"> </w:t>
      </w:r>
      <w:r>
        <w:t xml:space="preserve">before that becomes a quoted premium figure. None of the four has yet been checked</w:t>
      </w:r>
      <w:r>
        <w:t xml:space="preserve"> </w:t>
      </w:r>
      <w:r>
        <w:t xml:space="preserve">for which side of the Huang/Yu leakage-practice split it falls on — this is</w:t>
      </w:r>
      <w:r>
        <w:t xml:space="preserve"> </w:t>
      </w:r>
      <w:r>
        <w:t xml:space="preserve">exactly the kind of question the full-text verification queue exists to answer,</w:t>
      </w:r>
      <w:r>
        <w:t xml:space="preserve"> </w:t>
      </w:r>
      <w:r>
        <w:t xml:space="preserve">not something to guess from a title.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was reported through the previous phase of this</w:t>
      </w:r>
      <w:r>
        <w:t xml:space="preserve"> </w:t>
      </w:r>
      <w:r>
        <w:t xml:space="preserve">review as the one taxonomy type with no confirmed pavement-specific exemplar in the</w:t>
      </w:r>
      <w:r>
        <w:t xml:space="preserve"> </w:t>
      </w:r>
      <w:r>
        <w:t xml:space="preserve">seed corpus, after two independent, differently worded search sweeps failed to find</w:t>
      </w:r>
      <w:r>
        <w:t xml:space="preserve"> </w:t>
      </w:r>
      <w:r>
        <w:t xml:space="preserve">one. That was an honest report of what those two sweeps actually covered, not a</w:t>
      </w:r>
      <w:r>
        <w:t xml:space="preserve"> </w:t>
      </w:r>
      <w:r>
        <w:t xml:space="preserve">structural claim about the literature, and it has not survived a third, larger pass:</w:t>
      </w:r>
      <w:r>
        <w:t xml:space="preserve"> </w:t>
      </w:r>
      <w:r>
        <w:t xml:space="preserve">a 2026 harvest search identified Kaloop et al.’s wavelet–OP-ELM model for rigid</w:t>
      </w:r>
      <w:r>
        <w:t xml:space="preserve"> </w:t>
      </w:r>
      <w:r>
        <w:t xml:space="preserve">pavement roughness</w:t>
      </w:r>
      <w:r>
        <w:t xml:space="preserve"> </w:t>
      </w:r>
      <w:r>
        <w:t xml:space="preserve">(Kaloop et al., 2020)</w:t>
      </w:r>
      <w:r>
        <w:t xml:space="preserve">, whose own abstract states plainly that</w:t>
      </w:r>
      <w:r>
        <w:t xml:space="preserve"> </w:t>
      </w:r>
      <w:r>
        <w:t xml:space="preserve">“Optimally Pruned Extreme Learning Machine (OP-ELM) and Wavelet analysis are</w:t>
      </w:r>
      <w:r>
        <w:t xml:space="preserve"> </w:t>
      </w:r>
      <w:r>
        <w:t xml:space="preserve">integrated”</w:t>
      </w:r>
      <w:r>
        <w:t xml:space="preserve"> </w:t>
      </w:r>
      <w:r>
        <w:t xml:space="preserve">and benchmarks the coupling against plain OP-ELM, a conventional ANN and</w:t>
      </w:r>
      <w:r>
        <w:t xml:space="preserve"> </w:t>
      </w:r>
      <w:r>
        <w:t xml:space="preserve">a regression baseline on LTPP data — a genuine, abstract-confirmed H6 case. A second,</w:t>
      </w:r>
      <w:r>
        <w:t xml:space="preserve"> </w:t>
      </w:r>
      <w:r>
        <w:t xml:space="preserve">more tentative candidate</w:t>
      </w:r>
      <w:r>
        <w:t xml:space="preserve"> </w:t>
      </w:r>
      <w:r>
        <w:t xml:space="preserve">(Zhang et al., 2025)</w:t>
      </w:r>
      <w:r>
        <w:t xml:space="preserve"> </w:t>
      </w:r>
      <w:r>
        <w:t xml:space="preserve">pairs ensemble empirical mode</w:t>
      </w:r>
      <w:r>
        <w:t xml:space="preserve"> </w:t>
      </w:r>
      <w:r>
        <w:t xml:space="preserve">decomposition with a downstream predictor for pavement modulus, though the</w:t>
      </w:r>
      <w:r>
        <w:t xml:space="preserve"> </w:t>
      </w:r>
      <w:r>
        <w:t xml:space="preserve">retrievable abstract snippet does not name that downstream model explicitly, so it</w:t>
      </w:r>
      <w:r>
        <w:t xml:space="preserve"> </w:t>
      </w:r>
      <w:r>
        <w:t xml:space="preserve">is coded provisionally pending full-text confirmation. Neither record’s leakage risk</w:t>
      </w:r>
      <w:r>
        <w:t xml:space="preserve"> </w:t>
      </w:r>
      <w:r>
        <w:t xml:space="preserve">is known: both publishers blocked automated full-text access — the same failure mode</w:t>
      </w:r>
      <w:r>
        <w:t xml:space="preserve"> </w:t>
      </w:r>
      <w:r>
        <w:t xml:space="preserve">recorded against a separate, earlier verification attempt on a ScienceDirect-hosted</w:t>
      </w:r>
      <w:r>
        <w:t xml:space="preserve"> </w:t>
      </w:r>
      <w:r>
        <w:t xml:space="preserve">paper (documented in the database, not repeated here) — so whether the</w:t>
      </w:r>
      <w:r>
        <w:t xml:space="preserve"> </w:t>
      </w:r>
      <w:r>
        <w:t xml:space="preserve">decomposition step was fitted before or after the train/test split — the exact H6</w:t>
      </w:r>
      <w:r>
        <w:t xml:space="preserve"> </w:t>
      </w:r>
      <w:r>
        <w:t xml:space="preserve">failure mode this taxonomy names — remains unread rather than assumed either way.</w:t>
      </w:r>
      <w:r>
        <w:t xml:space="preserve"> </w:t>
      </w:r>
      <w:r>
        <w:t xml:space="preserve">A follow-up search pass the same day found two further, older H6 records that a</w:t>
      </w:r>
      <w:r>
        <w:t xml:space="preserve"> </w:t>
      </w:r>
      <w:r>
        <w:t xml:space="preserve">single query had missed: Nejad and Zakeri’s paired 2011 studies</w:t>
      </w:r>
      <w:r>
        <w:t xml:space="preserve"> </w:t>
      </w:r>
      <w:r>
        <w:t xml:space="preserve">(Moghadas Nejad and Zakeri, 2011; Nejad and Zakeri, 2011)</w:t>
      </w:r>
      <w:r>
        <w:t xml:space="preserve"> </w:t>
      </w:r>
      <w:r>
        <w:t xml:space="preserve">each couple a wavelet-domain</w:t>
      </w:r>
      <w:r>
        <w:t xml:space="preserve"> </w:t>
      </w:r>
      <w:r>
        <w:t xml:space="preserve">decomposition (wavelet–Radon transform in one, wavelet transform alone in the</w:t>
      </w:r>
      <w:r>
        <w:t xml:space="preserve"> </w:t>
      </w:r>
      <w:r>
        <w:t xml:space="preserve">other) to a distinct trained neural-network classifier for pavement distress</w:t>
      </w:r>
      <w:r>
        <w:t xml:space="preserve"> </w:t>
      </w:r>
      <w:r>
        <w:t xml:space="preserve">recognition — the same two authors, the same journal and year, two related but</w:t>
      </w:r>
      <w:r>
        <w:t xml:space="preserve"> </w:t>
      </w:r>
      <w:r>
        <w:t xml:space="preserve">architecturally different H6 designs rather than one. H6 in this corpus is</w:t>
      </w:r>
      <w:r>
        <w:t xml:space="preserve"> </w:t>
      </w:r>
      <w:r>
        <w:t xml:space="preserve">therefore no longer a single exemplar but a small evidence base of four records</w:t>
      </w:r>
      <w:r>
        <w:t xml:space="preserve"> </w:t>
      </w:r>
      <w:r>
        <w:t xml:space="preserve">spanning 2011 to 2025, which changes what can honestly be said about it: not</w:t>
      </w:r>
      <w:r>
        <w:t xml:space="preserve"> </w:t>
      </w:r>
      <w:r>
        <w:t xml:space="preserve">“does H6 exist in pavement engineering”</w:t>
      </w:r>
      <w:r>
        <w:t xml:space="preserve"> </w:t>
      </w:r>
      <w:r>
        <w:t xml:space="preserve">(yes), but</w:t>
      </w:r>
      <w:r>
        <w:t xml:space="preserve"> </w:t>
      </w:r>
      <w:r>
        <w:t xml:space="preserve">“how often is it done safely,”</w:t>
      </w:r>
      <w:r>
        <w:t xml:space="preserve"> </w:t>
      </w:r>
      <w:r>
        <w:t xml:space="preserve">which full-text verification of these four is now positioned to answer. A fifth,</w:t>
      </w:r>
      <w:r>
        <w:t xml:space="preserve"> </w:t>
      </w:r>
      <w:r>
        <w:t xml:space="preserve">superficially similar record is worth naming precisely because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H6:</w:t>
      </w:r>
      <w:r>
        <w:t xml:space="preserve"> </w:t>
      </w:r>
      <w:r>
        <w:t xml:space="preserve">Ayenu-Prah and Attoh-Okine’s bidimensional empirical-mode-decomposition study</w:t>
      </w:r>
      <w:r>
        <w:t xml:space="preserve"> </w:t>
      </w:r>
      <w:r>
        <w:t xml:space="preserve">(Ayenu-Prah and Attoh-Okine, 2008)</w:t>
      </w:r>
      <w:r>
        <w:t xml:space="preserve"> </w:t>
      </w:r>
      <w:r>
        <w:t xml:space="preserve">— at 170 citations, the best-cited record this pass</w:t>
      </w:r>
      <w:r>
        <w:t xml:space="preserve"> </w:t>
      </w:r>
      <w:r>
        <w:t xml:space="preserve">touched — pairs BEMD with a Sobel edge detector, a fixed classical operator, not</w:t>
      </w:r>
      <w:r>
        <w:t xml:space="preserve"> </w:t>
      </w:r>
      <w:r>
        <w:t xml:space="preserve">a trained model, so it fails the structural test in §2.3 despite matching every</w:t>
      </w:r>
      <w:r>
        <w:t xml:space="preserve"> </w:t>
      </w:r>
      <w:r>
        <w:t xml:space="preserve">keyword an automated screen would use to flag it as H6. It is the cleanest</w:t>
      </w:r>
      <w:r>
        <w:t xml:space="preserve"> </w:t>
      </w:r>
      <w:r>
        <w:t xml:space="preserve">available illustration of the type’s boundary: decomposition followed by a fixed</w:t>
      </w:r>
      <w:r>
        <w:t xml:space="preserve"> </w:t>
      </w:r>
      <w:r>
        <w:t xml:space="preserve">operator is not H6; decomposition followed by something that learns from data is.</w:t>
      </w:r>
      <w:r>
        <w:t xml:space="preserve"> </w:t>
      </w:r>
      <w:r>
        <w:t xml:space="preserve">The corrected finding is therefore that H6 is rare but not absent, that its</w:t>
      </w:r>
      <w:r>
        <w:t xml:space="preserve"> </w:t>
      </w:r>
      <w:r>
        <w:t xml:space="preserve">absence in earlier phases reflected search coverage rather than a property of the</w:t>
      </w:r>
      <w:r>
        <w:t xml:space="preserve"> </w:t>
      </w:r>
      <w:r>
        <w:t xml:space="preserve">literature, and that the field’s own vocabulary (</w:t>
      </w:r>
      <w:r>
        <w:t xml:space="preserve">“wavelet-based,”</w:t>
      </w:r>
      <w:r>
        <w:t xml:space="preserve"> </w:t>
      </w:r>
      <w:r>
        <w:t xml:space="preserve">“EMD-based”</w:t>
      </w:r>
      <w:r>
        <w:t xml:space="preserve">)</w:t>
      </w:r>
      <w:r>
        <w:t xml:space="preserve"> </w:t>
      </w:r>
      <w:r>
        <w:t xml:space="preserve">does not reliably distinguish the two cases — exactly the vocabulary problem §1</w:t>
      </w:r>
      <w:r>
        <w:t xml:space="preserve"> </w:t>
      </w:r>
      <w:r>
        <w:t xml:space="preserve">opens with, recurring one taxonomy type later. The research agenda in §13 is</w:t>
      </w:r>
      <w:r>
        <w:t xml:space="preserve"> </w:t>
      </w:r>
      <w:r>
        <w:t xml:space="preserve">updated accordingly.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(symbolic–numeric)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43"/>
    <w:bookmarkStart w:id="48" w:name="sec-premium"/>
    <w:p>
      <w:pPr>
        <w:pStyle w:val="Heading1"/>
      </w:pPr>
      <w:r>
        <w:t xml:space="preserve">9. The hybridisation premium</w:t>
      </w:r>
    </w:p>
    <w:bookmarkStart w:id="44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p>
      <w:pPr>
        <w:pStyle w:val="BodyText"/>
      </w:pPr>
      <w:r>
        <w:rPr>
          <w:b/>
          <w:bCs/>
        </w:rPr>
        <w:t xml:space="preserve">Operationalising</w:t>
      </w:r>
      <w:r>
        <w:rPr>
          <w:b/>
          <w:bCs/>
        </w:rPr>
        <w:t xml:space="preserve"> </w:t>
      </w:r>
      <w:r>
        <w:rPr>
          <w:b/>
          <w:bCs/>
        </w:rPr>
        <w:t xml:space="preserve">“comparable evaluation budget.”</w:t>
      </w:r>
      <w:r>
        <w:t xml:space="preserve"> </w:t>
      </w:r>
      <w:r>
        <w:t xml:space="preserve">A grid search, a random</w:t>
      </w:r>
      <w:r>
        <w:t xml:space="preserve"> </w:t>
      </w:r>
      <w:r>
        <w:t xml:space="preserve">search and a population-based metaheuristic (PSO, GA, and the many named variants</w:t>
      </w:r>
      <w:r>
        <w:t xml:space="preserve"> </w:t>
      </w:r>
      <w:r>
        <w:t xml:space="preserve">in §4) do not share an obvious common unit — a grid search has no generations, a</w:t>
      </w:r>
      <w:r>
        <w:t xml:space="preserve"> </w:t>
      </w:r>
      <w:r>
        <w:t xml:space="preserve">metaheuristic has no grid resolution. The unit this review uses is the one</w:t>
      </w:r>
      <w:r>
        <w:t xml:space="preserve"> </w:t>
      </w:r>
      <w:r>
        <w:t xml:space="preserve">quantity every search strategy actually shares:</w:t>
      </w:r>
      <w:r>
        <w:t xml:space="preserve"> </w:t>
      </w:r>
      <w:r>
        <w:rPr>
          <w:b/>
          <w:bCs/>
        </w:rPr>
        <w:t xml:space="preserve">the number of times the base</w:t>
      </w:r>
      <w:r>
        <w:rPr>
          <w:b/>
          <w:bCs/>
        </w:rPr>
        <w:t xml:space="preserve"> </w:t>
      </w:r>
      <w:r>
        <w:rPr>
          <w:b/>
          <w:bCs/>
        </w:rPr>
        <w:t xml:space="preserve">learner itself is trained and evaluated during the search</w:t>
      </w:r>
      <w:r>
        <w:t xml:space="preserve"> </w:t>
      </w:r>
      <w:r>
        <w:t xml:space="preserve">— total grid points</w:t>
      </w:r>
      <w:r>
        <w:t xml:space="preserve"> </w:t>
      </w:r>
      <w:r>
        <w:t xml:space="preserve">for a grid search, total random draws for a random search, population size ×</w:t>
      </w:r>
      <w:r>
        <w:t xml:space="preserve"> </w:t>
      </w:r>
      <w:r>
        <w:t xml:space="preserve">number of generations (or the paper’s own reported total function-evaluation</w:t>
      </w:r>
      <w:r>
        <w:t xml:space="preserve"> </w:t>
      </w:r>
      <w:r>
        <w:t xml:space="preserve">count) for a metaheuristic. Two arms are treated as budget-comparable when their</w:t>
      </w:r>
      <w:r>
        <w:t xml:space="preserve"> </w:t>
      </w:r>
      <w:r>
        <w:t xml:space="preserve">base-learner training-and-evaluation counts are within the same order of</w:t>
      </w:r>
      <w:r>
        <w:t xml:space="preserve"> </w:t>
      </w:r>
      <w:r>
        <w:t xml:space="preserve">magnitude; wall-clock time is used as a secondary check where reported, since it</w:t>
      </w:r>
      <w:r>
        <w:t xml:space="preserve"> </w:t>
      </w:r>
      <w:r>
        <w:t xml:space="preserve">can diverge from the evaluation count when the optimiser itself carries</w:t>
      </w:r>
      <w:r>
        <w:t xml:space="preserve"> </w:t>
      </w:r>
      <w:r>
        <w:t xml:space="preserve">non-trivial overhead. This is also what PAVE-ML item 12b (§12) asks studies to</w:t>
      </w:r>
      <w:r>
        <w:t xml:space="preserve"> </w:t>
      </w:r>
      <w:r>
        <w:t xml:space="preserve">report directly, so that this determination does not have to be inferred</w:t>
      </w:r>
      <w:r>
        <w:t xml:space="preserve"> </w:t>
      </w:r>
      <w:r>
        <w:t xml:space="preserve">indirectly from a paper’s stated hyperparameter ranges. A study that tunes the</w:t>
      </w:r>
      <w:r>
        <w:t xml:space="preserve"> </w:t>
      </w:r>
      <w:r>
        <w:t xml:space="preserve">hybrid arm exhaustively while leaving the baseline arm at library-default</w:t>
      </w:r>
      <w:r>
        <w:t xml:space="preserve"> </w:t>
      </w:r>
      <w:r>
        <w:t xml:space="preserve">settings fails this test regardless of which search algorithm names appear in its</w:t>
      </w:r>
      <w:r>
        <w:t xml:space="preserve"> </w:t>
      </w:r>
      <w:r>
        <w:t xml:space="preserve">title — the H1/H2 failure mode both the taxonomy in §4 and the evidence in §9.3</w:t>
      </w:r>
      <w:r>
        <w:t xml:space="preserve"> </w:t>
      </w:r>
      <w:r>
        <w:t xml:space="preserve">keep surfacing.</w:t>
      </w:r>
    </w:p>
    <w:bookmarkEnd w:id="44"/>
    <w:bookmarkStart w:id="45" w:name="what-the-completed-audit-will-report"/>
    <w:p>
      <w:pPr>
        <w:pStyle w:val="Heading2"/>
      </w:pPr>
      <w:r>
        <w:t xml:space="preserve">9.2 What the completed audit will report</w:t>
      </w:r>
    </w:p>
    <w:p>
      <w:pPr>
        <w:pStyle w:val="FirstParagraph"/>
      </w:pPr>
      <w:r>
        <w:t xml:space="preserve">Over the full coded corpus, the review will report, for every study attempting an</w:t>
      </w:r>
      <w:r>
        <w:t xml:space="preserve"> </w:t>
      </w:r>
      <w:r>
        <w:t xml:space="preserve">H1 or H2 coupling: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computable at all under the definition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premium_computable</w:t>
      </w:r>
      <w:r>
        <w:t xml:space="preserve">); its value where it is; whether the search budget was stated</w:t>
      </w:r>
      <w:r>
        <w:t xml:space="preserve"> </w:t>
      </w:r>
      <w:r>
        <w:t xml:space="preserve">for both the hybrid and the baseline arm (</w:t>
      </w:r>
      <w:r>
        <w:rPr>
          <w:rStyle w:val="VerbatimChar"/>
        </w:rPr>
        <w:t xml:space="preserve">budget_parity_reported</w:t>
      </w:r>
      <w:r>
        <w:t xml:space="preserve">); and, where a</w:t>
      </w:r>
      <w:r>
        <w:t xml:space="preserve"> </w:t>
      </w:r>
      <w:r>
        <w:t xml:space="preserve">newly named optimiser is the paper’s contribution, whether it was benchmarked</w:t>
      </w:r>
      <w:r>
        <w:t xml:space="preserve"> </w:t>
      </w:r>
      <w:r>
        <w:t xml:space="preserve">against at least two established optimisers on the same problem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optimiser_novelty_claim</w:t>
      </w:r>
      <w:r>
        <w:t xml:space="preserve">). These fields are specified in full, with worked</w:t>
      </w:r>
      <w:r>
        <w:t xml:space="preserve"> </w:t>
      </w:r>
      <w:r>
        <w:t xml:space="preserve">examples, in the PAVE-ML instrument (§12) and were fixed before full-text coding</w:t>
      </w:r>
      <w:r>
        <w:t xml:space="preserve"> </w:t>
      </w:r>
      <w:r>
        <w:t xml:space="preserve">began.</w:t>
      </w:r>
    </w:p>
    <w:bookmarkEnd w:id="45"/>
    <w:bookmarkStart w:id="47" w:name="X7f25b91c7f8b674ee1023e90faae5a96e47348b"/>
    <w:p>
      <w:pPr>
        <w:pStyle w:val="Heading2"/>
      </w:pPr>
      <w:r>
        <w:t xml:space="preserve">9.3 Preliminary evidence from the seed corpus</w:t>
      </w:r>
    </w:p>
    <w:p>
      <w:pPr>
        <w:pStyle w:val="FirstParagraph"/>
      </w:pPr>
      <w:r>
        <w:t xml:space="preserve">The completed audit is not yet available; what follows is the evidence already</w:t>
      </w:r>
      <w:r>
        <w:t xml:space="preserve"> </w:t>
      </w:r>
      <w:r>
        <w:t xml:space="preserve">visible in the seed corpus, presented as motivation for the audit rather than as</w:t>
      </w:r>
      <w:r>
        <w:t xml:space="preserve"> </w:t>
      </w:r>
      <w:r>
        <w:t xml:space="preserve">its result.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every within-paper comparison in the</w:t>
      </w:r>
      <w:r>
        <w:t xml:space="preserve"> </w:t>
      </w:r>
      <w:r>
        <w:t xml:space="preserve">seed corpus close enough to a premium calculation to be informative, with every</w:t>
      </w:r>
      <w:r>
        <w:t xml:space="preserve"> </w:t>
      </w:r>
      <w:r>
        <w:t xml:space="preserve">figure copied verbatim from the source paper’s own reported results.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42"/>
              <w:gridCol w:w="1108"/>
              <w:gridCol w:w="633"/>
              <w:gridCol w:w="950"/>
              <w:gridCol w:w="950"/>
              <w:gridCol w:w="712"/>
              <w:gridCol w:w="1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app9153172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vs. GA-ANFIS vs. PSO-ANFIS, all reported within one paper, 1000-run Monte Carlo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MAE / R (Marshall Stability)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(best of three by converged statistical criteria)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GA-ANFIS and PSO-ANFIS (both hybrids)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— plain SVM outperforms both hybrids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in this literature: a statistically robust (1000-simulation Monte Carlo) same-paper comparison where a plain, non-hybrid learner beats two separate metaheuristic-hybrid variants. Directly supports the review’s central claim rather than merely gesturing at a missing baseline.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 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 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 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Three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six rows, only three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2025;</w:t>
      </w:r>
      <w:r>
        <w:t xml:space="preserve"> </w:t>
      </w:r>
      <w:r>
        <w:t xml:space="preserve">Nguyen et al.</w:t>
      </w:r>
      <w:r>
        <w:t xml:space="preserve">, 2019)</w:t>
      </w:r>
      <w:r>
        <w:t xml:space="preserve"> </w:t>
      </w:r>
      <w:r>
        <w:t xml:space="preserve">involve a paper that reports enough to attempt a premium</w:t>
      </w:r>
      <w:r>
        <w:t xml:space="preserve"> </w:t>
      </w:r>
      <w:r>
        <w:t xml:space="preserve">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</w:t>
      </w:r>
      <w:r>
        <w:t xml:space="preserve"> </w:t>
      </w:r>
      <w:r>
        <w:t xml:space="preserve">includes the one comparator — a conventionally tuned, non-hybrid version of the</w:t>
      </w:r>
      <w:r>
        <w:t xml:space="preserve"> </w:t>
      </w:r>
      <w:r>
        <w:t xml:space="preserve">same LSSVM — that 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</w:t>
      </w:r>
      <w:r>
        <w:t xml:space="preserve"> </w:t>
      </w:r>
      <w:r>
        <w:t xml:space="preserve">audit is built to quantify: the missing baseline, not a negative result, is the</w:t>
      </w:r>
      <w:r>
        <w:t xml:space="preserve"> </w:t>
      </w:r>
      <w:r>
        <w:t xml:space="preserve">dominant finding so far. Second,</w:t>
      </w:r>
      <w:r>
        <w:t xml:space="preserve"> </w:t>
      </w:r>
      <w:r>
        <w:rPr>
          <w:b/>
          <w:bCs/>
        </w:rPr>
        <w:t xml:space="preserve">where tuning parity is closest to being</w:t>
      </w:r>
      <w:r>
        <w:rPr>
          <w:b/>
          <w:bCs/>
        </w:rPr>
        <w:t xml:space="preserve"> </w:t>
      </w:r>
      <w:r>
        <w:rPr>
          <w:b/>
          <w:bCs/>
        </w:rPr>
        <w:t xml:space="preserve">honoured, the hybrid or deep-architecture advantage narrows — and can reverse</w:t>
      </w:r>
      <w:r>
        <w:rPr>
          <w:b/>
          <w:bCs/>
        </w:rPr>
        <w:t xml:space="preserve"> </w:t>
      </w:r>
      <w:r>
        <w:rPr>
          <w:b/>
          <w:bCs/>
        </w:rPr>
        <w:t xml:space="preserve">outright.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 architectures individually,</w:t>
      </w:r>
      <w:r>
        <w:t xml:space="preserve"> </w:t>
      </w:r>
      <w:r>
        <w:t xml:space="preserve">including deep networks, against both each other and two established mechanistic</w:t>
      </w:r>
      <w:r>
        <w:t xml:space="preserve"> </w:t>
      </w:r>
      <w:r>
        <w:t xml:space="preserve">models; the winner is a tuned bagging ensemble.</w:t>
      </w:r>
      <w:r>
        <w:t xml:space="preserve"> </w:t>
      </w:r>
      <w:r>
        <w:t xml:space="preserve">Nguyen et al.</w:t>
      </w:r>
      <w:r>
        <w:t xml:space="preserve"> </w:t>
      </w:r>
      <w:r>
        <w:t xml:space="preserve">(2019)</w:t>
      </w:r>
      <w:r>
        <w:t xml:space="preserve"> </w:t>
      </w:r>
      <w:r>
        <w:t xml:space="preserve">goes</w:t>
      </w:r>
      <w:r>
        <w:t xml:space="preserve"> </w:t>
      </w:r>
      <w:r>
        <w:t xml:space="preserve">further: across a 1000-run Monte Carlo comparison, a plain support vector machine</w:t>
      </w:r>
      <w:r>
        <w:t xml:space="preserve"> </w:t>
      </w:r>
      <w:r>
        <w:t xml:space="preserve">outperforms both a GA-tuned and a PSO-tuned ANFIS hybrid on the identical data —</w:t>
      </w:r>
      <w:r>
        <w:t xml:space="preserve"> </w:t>
      </w:r>
      <w:r>
        <w:t xml:space="preserve">one of the seed corpus’s few statistically robust cases where hybridisation is</w:t>
      </w:r>
      <w:r>
        <w:t xml:space="preserve"> </w:t>
      </w:r>
      <w:r>
        <w:t xml:space="preserve">outright negative rather than merely unproven. Neither a hybrid nor a deep</w:t>
      </w:r>
      <w:r>
        <w:t xml:space="preserve"> </w:t>
      </w:r>
      <w:r>
        <w:t xml:space="preserve">architecture prevailed in either study once every competitor received its own</w:t>
      </w:r>
      <w:r>
        <w:t xml:space="preserve"> </w:t>
      </w:r>
      <w:r>
        <w:t xml:space="preserve">search budget. Third,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</w:t>
      </w:r>
      <w:r>
        <w:t xml:space="preserve"> </w:t>
      </w:r>
      <w:r>
        <w:t xml:space="preserve">positive counter-example — a heterogeneous stacking ensemble (H5) that both</w:t>
      </w:r>
      <w:r>
        <w:t xml:space="preserve"> </w:t>
      </w:r>
      <w:r>
        <w:t xml:space="preserve">reports a credible premium over single models and states explicitly that its</w:t>
      </w:r>
      <w:r>
        <w:t xml:space="preserve"> </w:t>
      </w:r>
      <w:r>
        <w:t xml:space="preserve">meta-learner was trained on cross-validated, not in-fold, base-model predictions</w:t>
      </w:r>
      <w:r>
        <w:t xml:space="preserve"> </w:t>
      </w:r>
      <w:r>
        <w:t xml:space="preserve">specifically to avoid the leakage pathway characteristic of that hybridisation</w:t>
      </w:r>
      <w:r>
        <w:t xml:space="preserve"> </w:t>
      </w:r>
      <w:r>
        <w:t xml:space="preserve">type (§4, H5). It is cited in §12 as the positive PAVE-ML exemplar for exactly</w:t>
      </w:r>
      <w:r>
        <w:t xml:space="preserve"> </w:t>
      </w:r>
      <w:r>
        <w:t xml:space="preserve">this reason.</w:t>
      </w:r>
    </w:p>
    <w:p>
      <w:pPr>
        <w:pStyle w:val="BodyText"/>
      </w:pPr>
      <w:r>
        <w:t xml:space="preserve">None of these readings should be generalised past what six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 It is worth noting, too, that this review is</w:t>
      </w:r>
      <w:r>
        <w:t xml:space="preserve"> </w:t>
      </w:r>
      <w:r>
        <w:t xml:space="preserve">not alone in noticing the shape of the problem even if no prior source has</w:t>
      </w:r>
      <w:r>
        <w:t xml:space="preserve"> </w:t>
      </w:r>
      <w:r>
        <w:t xml:space="preserve">quantified it the way this section does: a narrower, CBR-specific AI review</w:t>
      </w:r>
      <w:r>
        <w:t xml:space="preserve"> </w:t>
      </w:r>
      <w:r>
        <w:t xml:space="preserve">published concurrently with this one independently argues that combining a base</w:t>
      </w:r>
      <w:r>
        <w:t xml:space="preserve"> </w:t>
      </w:r>
      <w:r>
        <w:t xml:space="preserve">learner’s own hyperparameters with an optimisation algorithm’s hyperparameters</w:t>
      </w:r>
      <w:r>
        <w:t xml:space="preserve"> </w:t>
      </w:r>
      <w:r>
        <w:t xml:space="preserve">adds a configuration complexity that can itself degrade accuracy</w:t>
      </w:r>
      <w:r>
        <w:t xml:space="preserve"> </w:t>
      </w:r>
      <w:r>
        <w:t xml:space="preserve">(Khatti and Grover, 2025)</w:t>
      </w:r>
      <w:r>
        <w:t xml:space="preserve"> </w:t>
      </w:r>
      <w:r>
        <w:t xml:space="preserve">— a different diagnosis (configuration complexity rather</w:t>
      </w:r>
      <w:r>
        <w:t xml:space="preserve"> </w:t>
      </w:r>
      <w:r>
        <w:t xml:space="preserve">than an unfair baseline) converging on the same underlying concern from a</w:t>
      </w:r>
      <w:r>
        <w:t xml:space="preserve"> </w:t>
      </w:r>
      <w:r>
        <w:t xml:space="preserve">different sub-literature.</w:t>
      </w:r>
    </w:p>
    <w:bookmarkEnd w:id="47"/>
    <w:bookmarkEnd w:id="48"/>
    <w:bookmarkStart w:id="52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Two constructs recur across the hybrid-model literature under the banner of</w:t>
      </w:r>
      <w:r>
        <w:t xml:space="preserve"> </w:t>
      </w:r>
      <w:r>
        <w:t xml:space="preserve">trustworthiness — interpretability and uncertainty quantification — and both are</w:t>
      </w:r>
      <w:r>
        <w:t xml:space="preserve"> </w:t>
      </w:r>
      <w:r>
        <w:t xml:space="preserve">applied in this corpus in ways that, on inspection, often do less than their</w:t>
      </w:r>
      <w:r>
        <w:t xml:space="preserve"> </w:t>
      </w:r>
      <w:r>
        <w:t xml:space="preserve">presence in a paper’s keyword list implies.</w:t>
      </w:r>
    </w:p>
    <w:bookmarkStart w:id="49" w:name="X49cb7ec1024df583123906f939cb2b3118205d9"/>
    <w:p>
      <w:pPr>
        <w:pStyle w:val="Heading2"/>
      </w:pPr>
      <w:r>
        <w:t xml:space="preserve">10.1 What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means for a hybrid pipeline</w:t>
      </w:r>
    </w:p>
    <w:p>
      <w:pPr>
        <w:pStyle w:val="FirstParagraph"/>
      </w:pPr>
      <w:r>
        <w:t xml:space="preserve">The interpretability methods visible in the seed corpus fall into two families with</w:t>
      </w:r>
      <w:r>
        <w:t xml:space="preserve"> </w:t>
      </w:r>
      <w:r>
        <w:t xml:space="preserve">different epistemic status. The first is</w:t>
      </w:r>
      <w:r>
        <w:t xml:space="preserve"> </w:t>
      </w:r>
      <w:r>
        <w:rPr>
          <w:b/>
          <w:bCs/>
        </w:rPr>
        <w:t xml:space="preserve">post-hoc attribution on an opaque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: Garson’s algorithm and connection-weight decomposition</w:t>
      </w:r>
      <w:r>
        <w:t xml:space="preserve"> </w:t>
      </w:r>
      <w:r>
        <w:t xml:space="preserve">(Ghanizadeh et al., 2020)</w:t>
      </w:r>
      <w:r>
        <w:t xml:space="preserve">, SHAP applied to gradient-boosted or stacked ensembles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, and neighbourhood component analysis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2023)</w:t>
      </w:r>
      <w:r>
        <w:t xml:space="preserve">. These methods answer a well-defined but narrow question —</w:t>
      </w:r>
      <w:r>
        <w:t xml:space="preserve"> </w:t>
      </w:r>
      <w:r>
        <w:t xml:space="preserve">which inputs moved this particular model’s output, on this particular data — and</w:t>
      </w:r>
      <w:r>
        <w:t xml:space="preserve"> </w:t>
      </w:r>
      <w:r>
        <w:t xml:space="preserve">answer nothing at all about whether the model’s predictions are trustworthy off</w:t>
      </w:r>
      <w:r>
        <w:t xml:space="preserve"> </w:t>
      </w:r>
      <w:r>
        <w:t xml:space="preserve">that data. The second is</w:t>
      </w:r>
      <w:r>
        <w:t xml:space="preserve"> </w:t>
      </w:r>
      <w:r>
        <w:rPr>
          <w:b/>
          <w:bCs/>
        </w:rPr>
        <w:t xml:space="preserve">intrinsic interpretability</w:t>
      </w:r>
      <w:r>
        <w:t xml:space="preserve">: symbolic-regression</w:t>
      </w:r>
      <w:r>
        <w:t xml:space="preserve"> </w:t>
      </w:r>
      <w:r>
        <w:t xml:space="preserve">methods (GEP, MEP, EPR, MGGP) that yield a closed-form equation rather than a</w:t>
      </w:r>
      <w:r>
        <w:t xml:space="preserve"> </w:t>
      </w:r>
      <w:r>
        <w:t xml:space="preserve">black-box function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Jalal et al.</w:t>
      </w:r>
      <w:r>
        <w:t xml:space="preserve">, 2023; Mazari and Rodriguez, 2016)</w:t>
      </w:r>
      <w:r>
        <w:t xml:space="preserve">. An</w:t>
      </w:r>
      <w:r>
        <w:t xml:space="preserve"> </w:t>
      </w:r>
      <w:r>
        <w:t xml:space="preserve">equation can be inspected for physical plausibility — does the sign of each</w:t>
      </w:r>
      <w:r>
        <w:t xml:space="preserve"> </w:t>
      </w:r>
      <w:r>
        <w:t xml:space="preserve">coefficient match known mechanics, does the functional form saturate or diverge</w:t>
      </w:r>
      <w:r>
        <w:t xml:space="preserve"> </w:t>
      </w:r>
      <w:r>
        <w:t xml:space="preserve">where it should — in a way a SHAP plot cannot be, because SHAP explains what the</w:t>
      </w:r>
      <w:r>
        <w:t xml:space="preserve"> </w:t>
      </w:r>
      <w:r>
        <w:t xml:space="preserve">model learned, not whether what it learned is correct.</w:t>
      </w:r>
    </w:p>
    <w:p>
      <w:pPr>
        <w:pStyle w:val="BodyText"/>
      </w:pPr>
      <w:r>
        <w:t xml:space="preserve">This distinction sharpens the point §7 and §9 make about validation. An</w:t>
      </w:r>
      <w:r>
        <w:t xml:space="preserve"> </w:t>
      </w:r>
      <w:r>
        <w:t xml:space="preserve">attribution method applied to a model that has not been externally validated</w:t>
      </w:r>
      <w:r>
        <w:t xml:space="preserve"> </w:t>
      </w:r>
      <w:r>
        <w:t xml:space="preserve">(the majority of the corpus, by the audit’s own count) ranks the structure of</w:t>
      </w:r>
      <w:r>
        <w:t xml:space="preserve"> </w:t>
      </w:r>
      <w:r>
        <w:t xml:space="preserve">that model’s training data, not the physics of the pavement — and every one of</w:t>
      </w:r>
      <w:r>
        <w:t xml:space="preserve"> </w:t>
      </w:r>
      <w:r>
        <w:t xml:space="preserve">the corpus’s SHAP applications identified so far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 </w:t>
      </w:r>
      <w:r>
        <w:t xml:space="preserve">is computed on a model whose external validation, under</w:t>
      </w:r>
      <w:r>
        <w:t xml:space="preserve"> </w:t>
      </w:r>
      <w:r>
        <w:t xml:space="preserve">the criterion in §2.3,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. This is not a claim that the attributions are</w:t>
      </w:r>
      <w:r>
        <w:t xml:space="preserve"> </w:t>
      </w:r>
      <w:r>
        <w:t xml:space="preserve">wrong; it is a claim that their scope is narrower than the surrounding prose</w:t>
      </w:r>
      <w:r>
        <w:t xml:space="preserve"> </w:t>
      </w:r>
      <w:r>
        <w:t xml:space="preserve">typically implies. A useful negative case makes the point concretely:</w:t>
      </w:r>
      <w:r>
        <w:t xml:space="preserve"> </w:t>
      </w:r>
      <w:r>
        <w:t xml:space="preserve">Sandamal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apply SHAP to a two-predictor roughness model (age and</w:t>
      </w:r>
      <w:r>
        <w:t xml:space="preserve"> </w:t>
      </w:r>
      <w:r>
        <w:t xml:space="preserve">cumulative traffic) — with only two inputs, a SHAP decomposition can say little a</w:t>
      </w:r>
      <w:r>
        <w:t xml:space="preserve"> </w:t>
      </w:r>
      <w:r>
        <w:t xml:space="preserve">simple partial-dependence plot would not already show, and the paper illustrates</w:t>
      </w:r>
      <w:r>
        <w:t xml:space="preserve"> </w:t>
      </w:r>
      <w:r>
        <w:t xml:space="preserve">how readily explainability tooling is reached for even where the underlying model</w:t>
      </w:r>
      <w:r>
        <w:t xml:space="preserve"> </w:t>
      </w:r>
      <w:r>
        <w:t xml:space="preserve">offers little for it to explain. At the other end,</w:t>
      </w:r>
      <w:r>
        <w:t xml:space="preserve"> </w:t>
      </w:r>
      <w:r>
        <w:t xml:space="preserve">Jalal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make the</w:t>
      </w:r>
      <w:r>
        <w:t xml:space="preserve"> </w:t>
      </w:r>
      <w:r>
        <w:t xml:space="preserve">trade-off explicit rather than leaving it implicit: their ANN outperforms GEP and</w:t>
      </w:r>
      <w:r>
        <w:t xml:space="preserve"> </w:t>
      </w:r>
      <w:r>
        <w:t xml:space="preserve">MEP numerically, and they recommend the symbolic alternatives anyway, stating</w:t>
      </w:r>
      <w:r>
        <w:t xml:space="preserve"> </w:t>
      </w:r>
      <w:r>
        <w:t xml:space="preserve">plainly that this is</w:t>
      </w:r>
      <w:r>
        <w:t xml:space="preserve"> </w:t>
      </w:r>
      <w:r>
        <w:t xml:space="preserve">“due to the blackbox nature of the ANN”</w:t>
      </w:r>
      <w:r>
        <w:t xml:space="preserve"> </w:t>
      </w:r>
      <w:r>
        <w:t xml:space="preserve">— one of the only</w:t>
      </w:r>
      <w:r>
        <w:t xml:space="preserve"> </w:t>
      </w:r>
      <w:r>
        <w:t xml:space="preserve">studies in the corpus to treat interpretability as a design objective competing</w:t>
      </w:r>
      <w:r>
        <w:t xml:space="preserve"> </w:t>
      </w:r>
      <w:r>
        <w:t xml:space="preserve">with accuracy, rather than as a figure added after the fact.</w:t>
      </w:r>
    </w:p>
    <w:bookmarkEnd w:id="49"/>
    <w:bookmarkStart w:id="50" w:name="X91e2116918ce5fd5ce72980b074ec362577273d"/>
    <w:p>
      <w:pPr>
        <w:pStyle w:val="Heading2"/>
      </w:pPr>
      <w:r>
        <w:t xml:space="preserve">10.2 Uncertainty quantification: absent, not merely under-reported</w:t>
      </w:r>
    </w:p>
    <w:p>
      <w:pPr>
        <w:pStyle w:val="FirstParagraph"/>
      </w:pPr>
      <w:r>
        <w:t xml:space="preserve">Where interpretability is present but often narrow, predictive uncertainty is, so</w:t>
      </w:r>
      <w:r>
        <w:t xml:space="preserve"> </w:t>
      </w:r>
      <w:r>
        <w:t xml:space="preserve">far, close to absent. None of the studies coded to date reports an interval or</w:t>
      </w:r>
      <w:r>
        <w:t xml:space="preserve"> </w:t>
      </w:r>
      <w:r>
        <w:t xml:space="preserve">distributional estimate for an individual prediction — no conformal intervals, no</w:t>
      </w:r>
      <w:r>
        <w:t xml:space="preserve"> </w:t>
      </w:r>
      <w:r>
        <w:t xml:space="preserve">deep ensembles, no Gaussian-process variance, no quantile regression. What the</w:t>
      </w:r>
      <w:r>
        <w:t xml:space="preserve"> </w:t>
      </w:r>
      <w:r>
        <w:t xml:space="preserve">corpus does report, frequently, is dispersion of the</w:t>
      </w:r>
      <w:r>
        <w:t xml:space="preserve"> </w:t>
      </w:r>
      <w:r>
        <w:rPr>
          <w:i/>
          <w:iCs/>
        </w:rPr>
        <w:t xml:space="preserve">performance estimate</w:t>
      </w:r>
      <w:r>
        <w:t xml:space="preserve"> </w:t>
      </w:r>
      <w:r>
        <w:t xml:space="preserve">across</w:t>
      </w:r>
      <w:r>
        <w:t xml:space="preserve"> </w:t>
      </w:r>
      <w:r>
        <w:t xml:space="preserve">cross-validation folds (§9’s discussion of</w:t>
      </w:r>
      <w:r>
        <w:t xml:space="preserve"> </w:t>
      </w:r>
      <w:r>
        <w:t xml:space="preserve">Alnaqbi et al. (2025f)</w:t>
      </w:r>
      <w:r>
        <w:t xml:space="preserve">’s fold-consistent</w:t>
      </w:r>
      <w:r>
        <w:t xml:space="preserve"> </w:t>
      </w:r>
      <w:r>
        <w:t xml:space="preserve">RMSE is one example), which is a different quantity: it describes how stable the</w:t>
      </w:r>
      <w:r>
        <w:t xml:space="preserve"> </w:t>
      </w:r>
      <w:r>
        <w:t xml:space="preserve">model’s average skill is across resampling, not how confident any single</w:t>
      </w:r>
      <w:r>
        <w:t xml:space="preserve"> </w:t>
      </w:r>
      <w:r>
        <w:t xml:space="preserve">prediction should be treated. The two are easy to conflate and the corpus’s</w:t>
      </w:r>
      <w:r>
        <w:t xml:space="preserve"> </w:t>
      </w:r>
      <w:r>
        <w:t xml:space="preserve">papers do not, so far, distinguish them explicitly. Reporting this distinction is</w:t>
      </w:r>
      <w:r>
        <w:t xml:space="preserve"> </w:t>
      </w:r>
      <w:r>
        <w:t xml:space="preserve">itself one of the audit’s findings — a field that quantifies dispersion of its own</w:t>
      </w:r>
      <w:r>
        <w:t xml:space="preserve"> </w:t>
      </w:r>
      <w:r>
        <w:t xml:space="preserve">performance estimate but not of its individual predictions has a form of</w:t>
      </w:r>
      <w:r>
        <w:t xml:space="preserve"> </w:t>
      </w:r>
      <w:r>
        <w:t xml:space="preserve">uncertainty reporting that looks more complete than it is.</w:t>
      </w:r>
    </w:p>
    <w:bookmarkEnd w:id="50"/>
    <w:bookmarkStart w:id="51" w:name="Xd682745c7bc1f0efecf3cafadf5b85d8e31ce15"/>
    <w:p>
      <w:pPr>
        <w:pStyle w:val="Heading2"/>
      </w:pPr>
      <w:r>
        <w:t xml:space="preserve">10.3 Physics-informed learning as a third, structural, path</w:t>
      </w:r>
    </w:p>
    <w:p>
      <w:pPr>
        <w:pStyle w:val="FirstParagraph"/>
      </w:pPr>
      <w:r>
        <w:t xml:space="preserve">Pasupunuri et al. (2024)</w:t>
      </w:r>
      <w:r>
        <w:t xml:space="preserve">’s PINN offers a genuinely different route to</w:t>
      </w:r>
      <w:r>
        <w:t xml:space="preserve"> </w:t>
      </w:r>
      <w:r>
        <w:t xml:space="preserve">trustworthiness than either post-hoc attribution or a closed-form equation: rather</w:t>
      </w:r>
      <w:r>
        <w:t xml:space="preserve"> </w:t>
      </w:r>
      <w:r>
        <w:t xml:space="preserve">than explaining a model after fitting or restricting its functional form,</w:t>
      </w:r>
      <w:r>
        <w:t xml:space="preserve"> </w:t>
      </w:r>
      <w:r>
        <w:t xml:space="preserve">constrain what the model is permitted to learn to what the underlying MEPDG</w:t>
      </w:r>
      <w:r>
        <w:t xml:space="preserve"> </w:t>
      </w:r>
      <w:r>
        <w:t xml:space="preserve">mechanics allow, expressed as a physics-loss term during training. Sensitivity</w:t>
      </w:r>
      <w:r>
        <w:t xml:space="preserve"> </w:t>
      </w:r>
      <w:r>
        <w:t xml:space="preserve">analysis is reported as a supplementary check, not the primary trust mechanism —</w:t>
      </w:r>
      <w:r>
        <w:t xml:space="preserve"> </w:t>
      </w:r>
      <w:r>
        <w:t xml:space="preserve">the mechanics constraint does that work directly. This is the only example of</w:t>
      </w:r>
      <w:r>
        <w:t xml:space="preserve"> </w:t>
      </w:r>
      <w:r>
        <w:t xml:space="preserve">this kind in the seed corpus (§8), and its scarcity is itself the finding: a</w:t>
      </w:r>
      <w:r>
        <w:t xml:space="preserve"> </w:t>
      </w:r>
      <w:r>
        <w:t xml:space="preserve">pavement engineering literature that has adopted post-hoc explanation tools</w:t>
      </w:r>
      <w:r>
        <w:t xml:space="preserve"> </w:t>
      </w:r>
      <w:r>
        <w:t xml:space="preserve">readily has adopted structural, mechanics-consistent alternatives far more slowly,</w:t>
      </w:r>
      <w:r>
        <w:t xml:space="preserve"> </w:t>
      </w:r>
      <w:r>
        <w:t xml:space="preserve">despite the domain’s underlying physics being comparatively well characterised</w:t>
      </w:r>
      <w:r>
        <w:t xml:space="preserve"> </w:t>
      </w:r>
      <w:r>
        <w:t xml:space="preserve">relative to many fields where PINNs originated.</w:t>
      </w:r>
    </w:p>
    <w:bookmarkEnd w:id="51"/>
    <w:bookmarkEnd w:id="52"/>
    <w:bookmarkStart w:id="53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</w:t>
      </w:r>
      <w:r>
        <w:t xml:space="preserve"> </w:t>
      </w:r>
      <w:r>
        <w:t xml:space="preserve">strong candidate for being decision-irrelevant by this standard; the completed</w:t>
      </w:r>
      <w:r>
        <w:t xml:space="preserve"> </w:t>
      </w:r>
      <w:r>
        <w:t xml:space="preserve">audit will report, for every study where both a premium and enough contextual</w:t>
      </w:r>
      <w:r>
        <w:t xml:space="preserve"> </w:t>
      </w:r>
      <w:r>
        <w:t xml:space="preserve">detail are available, whether the premium plausibly clears this bar or not. This</w:t>
      </w:r>
      <w:r>
        <w:t xml:space="preserve"> </w:t>
      </w:r>
      <w:r>
        <w:t xml:space="preserve">section will be completed once that judgement can be made study by study rather</w:t>
      </w:r>
      <w:r>
        <w:t xml:space="preserve"> </w:t>
      </w:r>
      <w:r>
        <w:t xml:space="preserve">than asserted in general.</w:t>
      </w:r>
    </w:p>
    <w:p>
      <w:pPr>
        <w:pStyle w:val="BodyText"/>
      </w:pPr>
      <w:r>
        <w:t xml:space="preserve">A related and more immediate question is how often the gap between training and</w:t>
      </w:r>
      <w:r>
        <w:t xml:space="preserve"> </w:t>
      </w:r>
      <w:r>
        <w:t xml:space="preserve">test performance is even visible enough to judge, and here one paper in the seed</w:t>
      </w:r>
      <w:r>
        <w:t xml:space="preserve"> </w:t>
      </w:r>
      <w:r>
        <w:t xml:space="preserve">corpus supplies a rare, self-reported answer rather than requiring an external</w:t>
      </w:r>
      <w:r>
        <w:t xml:space="preserve"> </w:t>
      </w:r>
      <w:r>
        <w:t xml:space="preserve">audit to surface it. Jalal et al.</w:t>
      </w:r>
      <w:r>
        <w:t xml:space="preserve"> </w:t>
      </w:r>
      <w:r>
        <w:t xml:space="preserve">(</w:t>
      </w:r>
      <w:r>
        <w:t xml:space="preserve">Jalal et al.</w:t>
      </w:r>
      <w:r>
        <w:t xml:space="preserve">, 2024)</w:t>
      </w:r>
      <w:r>
        <w:t xml:space="preserve"> </w:t>
      </w:r>
      <w:r>
        <w:t xml:space="preserve">report four</w:t>
      </w:r>
      <w:r>
        <w:t xml:space="preserve"> </w:t>
      </w:r>
      <w:r>
        <w:t xml:space="preserve">metaheuristic-tuned ANN variants (PSO, GWO, SMA and MPA) for expansive-soil swell</w:t>
      </w:r>
      <w:r>
        <w:t xml:space="preserve"> </w:t>
      </w:r>
      <w:r>
        <w:t xml:space="preserve">pressure and unconfined compressive strength, with training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 for</w:t>
      </w:r>
      <w:r>
        <w:t xml:space="preserve"> </w:t>
      </w:r>
      <w:r>
        <w:t xml:space="preserve">the UCS models — and then state plainly, in their own results section, that</w:t>
      </w:r>
      <w:r>
        <w:t xml:space="preserve"> </w:t>
      </w:r>
      <w:r>
        <w:t xml:space="preserve">“the UCS models witnessed an overfitting problem because the aforementioned R</w:t>
      </w:r>
      <w:r>
        <w:t xml:space="preserve"> </w:t>
      </w:r>
      <w:r>
        <w:t xml:space="preserve">values of the metaheuristics were 0.62, 0.56, and 0.58”</w:t>
      </w:r>
      <w:r>
        <w:t xml:space="preserve"> </w:t>
      </w:r>
      <w:r>
        <w:t xml:space="preserve">on the test partition.</w:t>
      </w:r>
      <w:r>
        <w:t xml:space="preserve"> </w:t>
      </w:r>
      <w:r>
        <w:t xml:space="preserve">This is, so far, the only paper in the corpus to name its own train-test gap in</w:t>
      </w:r>
      <w:r>
        <w:t xml:space="preserve"> </w:t>
      </w:r>
      <w:r>
        <w:t xml:space="preserve">these terms rather than reporting a single headline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moving on, and it is</w:t>
      </w:r>
      <w:r>
        <w:t xml:space="preserve"> </w:t>
      </w:r>
      <w:r>
        <w:t xml:space="preserve">a useful reminder that the rigour audit’s purpose is not to catch something no</w:t>
      </w:r>
      <w:r>
        <w:t xml:space="preserve"> </w:t>
      </w:r>
      <w:r>
        <w:t xml:space="preserve">author could have noticed — the gap is visible in the paper’s own tables — but to</w:t>
      </w:r>
      <w:r>
        <w:t xml:space="preserve"> </w:t>
      </w:r>
      <w:r>
        <w:t xml:space="preserve">make visible-but-unremarked-upon gaps like this one a counted, systematic finding</w:t>
      </w:r>
      <w:r>
        <w:t xml:space="preserve"> </w:t>
      </w:r>
      <w:r>
        <w:t xml:space="preserve">rather than an exception a careful reader happens to spot.</w:t>
      </w:r>
    </w:p>
    <w:bookmarkEnd w:id="53"/>
    <w:bookmarkStart w:id="55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  <w:r>
        <w:t xml:space="preserve"> </w:t>
      </w:r>
      <w:hyperlink w:anchor="tbl-paveml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reproduces the full</w:t>
      </w:r>
      <w:r>
        <w:t xml:space="preserve"> </w:t>
      </w:r>
      <w:r>
        <w:t xml:space="preserve">instrument; the operational decision rules and worked examples that make each</w:t>
      </w:r>
      <w:r>
        <w:t xml:space="preserve"> </w:t>
      </w:r>
      <w:r>
        <w:t xml:space="preserve">item’s coding reproducible rather than a matter of reader judgement are given in</w:t>
      </w:r>
      <w:r>
        <w:t xml:space="preserve"> </w:t>
      </w:r>
      <w:r>
        <w:t xml:space="preserve">full in the supplementary material (</w:t>
      </w:r>
      <w:r>
        <w:rPr>
          <w:rStyle w:val="VerbatimChar"/>
        </w:rPr>
        <w:t xml:space="preserve">docs/03_PAVE-ML_instrument.md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pavem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PAVE-ML checklist: 20 general items across five domains, plus 4 items specific to hybrid pipelines.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#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Item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D1. Data provenance and structure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Origin of every record stated (lab programme, named field project, named public database, or simulation), with acquisition period.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 of observation defined; paper states whether records are independent (e.g. repeated measurements on one specimen/section/image).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size reported per split; ratio of records to fitted parameters or candidate inputs is computable from the text.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 and target ranges given; paper states predictions outside those ranges are not supported.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D2. Preprocessing and partitioning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Split described precisely enough to reproduce: mechanism, proportions, and random seed (or its absence).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fitted preprocessing step (scaling, imputation, resampling, feature selection, augmentation) stated to be fitted inside the training partition only.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records are non-independent (item 2), the split respects the grouping – no specimen/section/image/site appears in more than one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Class imbalance, censoring, or target skew reported, with its treatment described.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D3. Modelling and comparison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fully specified: layers, widths, activations, regularisation; base learner and count for ensembles.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Hyperparameter search described (space, method, budget); the selection partition is named and differs from the reported test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least one baseline is a tuned conventional model; the established domain/mechanistic model is included as a comparator where one exists.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a metaheuristic is used, whether it optimises hyperparameters or weights is stated, with a comparison against a conventionally tuned version of the same learner.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12a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 learner reported both with and without the hybridising component, on the same partition and metric.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12b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 budget stated for both hybrid and baseline arms (function evaluations, iterations × population, or wall-clock time).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12c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optimisers run more than once; spread across runs reported, not only the best run.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newly named optimiser is compared against at least 2 established optimisers on the same problem; the No-Free-Lunch implication is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D4. Evaluation, uncertainty and interpretation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Metrics suit the task (e.g. IoU/F1 with the positive class defined for imbalanced segmentation, never bare pixel accuracy; an absolute-error metric in engineering units alongside R² for regression).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 reported for training AND held-out partitions, with dispersion (fold SD, CI, or repeated-run range), not a single point estimate.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Predictive uncertainty quantified for individual predictions (conformal intervals, deep ensembles, MC dropout, GP variance, quantile regression) or its absence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interpretation output (SHAP, PDP, Garson, connection weights, NCA, attention) accompanied by the explained model’s validation status and a mechanics-consistency check.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D5. Generalisation, transparency and use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Evaluated on at least 1 dataset from an independent source (different agency/region/lab/test track/campaign) or the absence of external validation is stated as a limitation in the conclusions.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 and trained weights available at a persistent identifier; data available or the barrier to release named.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Computational cost reported: training time, inference time per record/image, and hardware.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Intended decision context stated: which engineering decision the output informs, at what level (project/network), and what accuracy that decision requires.</w:t>
                  </w: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and is now full-text confirmed to be, the clearest</w:t>
      </w:r>
      <w:r>
        <w:t xml:space="preserve"> </w:t>
      </w:r>
      <w:r>
        <w:t xml:space="preserve">example in the seed corpus of a study satisfying the spirit of items in this list</w:t>
      </w:r>
      <w:r>
        <w:t xml:space="preserve"> </w:t>
      </w:r>
      <w:r>
        <w:t xml:space="preserve">without having been written against it — its stacking meta-learner is trained on</w:t>
      </w:r>
      <w:r>
        <w:t xml:space="preserve"> </w:t>
      </w:r>
      <w:r>
        <w:t xml:space="preserve">cross-validated, not in-fold, predictions specifically to avoid leakage, stated</w:t>
      </w:r>
      <w:r>
        <w:t xml:space="preserve"> </w:t>
      </w:r>
      <w:r>
        <w:t xml:space="preserve">explicitly in the paper’s own methods section rather than inferred, which is</w:t>
      </w:r>
      <w:r>
        <w:t xml:space="preserve"> </w:t>
      </w:r>
      <w:r>
        <w:t xml:space="preserve">exactly the practice item 7 of the general instrument (grouped/blocked</w:t>
      </w:r>
      <w:r>
        <w:t xml:space="preserve"> </w:t>
      </w:r>
      <w:r>
        <w:t xml:space="preserve">partitioning respected by all fitted preprocessing) is written to detect the</w:t>
      </w:r>
      <w:r>
        <w:t xml:space="preserve"> </w:t>
      </w:r>
      <w:r>
        <w:t xml:space="preserve">absence of. One caveat keeps this a partial rather than a complete positive case:</w:t>
      </w:r>
      <w:r>
        <w:t xml:space="preserve"> </w:t>
      </w:r>
      <w:r>
        <w:t xml:space="preserve">the same paper’s external validation still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under the strict criterion</w:t>
      </w:r>
      <w:r>
        <w:t xml:space="preserve"> </w:t>
      </w:r>
      <w:r>
        <w:t xml:space="preserve">in §2.3, since all data come from the authors’ own laboratory tests rather than</w:t>
      </w:r>
      <w:r>
        <w:t xml:space="preserve"> </w:t>
      </w:r>
      <w:r>
        <w:t xml:space="preserve">an independently sourced dataset — a reminder that a study can get one PAVE-ML</w:t>
      </w:r>
      <w:r>
        <w:t xml:space="preserve"> </w:t>
      </w:r>
      <w:r>
        <w:t xml:space="preserve">dimension right while another remains open, and that the instrument is built to</w:t>
      </w:r>
      <w:r>
        <w:t xml:space="preserve"> </w:t>
      </w:r>
      <w:r>
        <w:t xml:space="preserve">report per-item findings rather than a single pass/fail verdict per paper. The</w:t>
      </w:r>
      <w:r>
        <w:t xml:space="preserve"> </w:t>
      </w:r>
      <w:r>
        <w:t xml:space="preserve">mirror-image worked example — full-text confirmation of the failure mode item 7</w:t>
      </w:r>
      <w:r>
        <w:t xml:space="preserve"> </w:t>
      </w:r>
      <w:r>
        <w:t xml:space="preserve">is written to catch, rather than of its avoidance — is the pair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(§7): both papers’ methods</w:t>
      </w:r>
      <w:r>
        <w:t xml:space="preserve"> </w:t>
      </w:r>
      <w:r>
        <w:t xml:space="preserve">sections state their five-fold</w:t>
      </w:r>
      <w:r>
        <w:t xml:space="preserve"> </w:t>
      </w:r>
      <w:r>
        <w:t xml:space="preserve">splits plainly as random partitions of individual observations, with no grouping</w:t>
      </w:r>
      <w:r>
        <w:t xml:space="preserve"> </w:t>
      </w:r>
      <w:r>
        <w:t xml:space="preserve">by the 33 physical sections those observations are drawn from, and both papers’</w:t>
      </w:r>
      <w:r>
        <w:t xml:space="preserve"> </w:t>
      </w:r>
      <w:r>
        <w:t xml:space="preserve">own Limitations or Future Directions sections separately confirm the absence of</w:t>
      </w:r>
      <w:r>
        <w:t xml:space="preserve"> </w:t>
      </w:r>
      <w:r>
        <w:t xml:space="preserve">external validation, independently of each other. The three papers, read</w:t>
      </w:r>
      <w:r>
        <w:t xml:space="preserve"> </w:t>
      </w:r>
      <w:r>
        <w:t xml:space="preserve">together, are what the fully coded corpus is expected to look like at scale: a</w:t>
      </w:r>
      <w:r>
        <w:t xml:space="preserve"> </w:t>
      </w:r>
      <w:r>
        <w:t xml:space="preserve">minority explicitly designing around the leakage and validation items in this</w:t>
      </w:r>
      <w:r>
        <w:t xml:space="preserve"> </w:t>
      </w:r>
      <w:r>
        <w:t xml:space="preserve">instrument, and a majority whose methods sections, once actually read rather than</w:t>
      </w:r>
      <w:r>
        <w:t xml:space="preserve"> </w:t>
      </w:r>
      <w:r>
        <w:t xml:space="preserve">inferred from an abstract, turn out to say plainly what §2’s silence-as-absence</w:t>
      </w:r>
      <w:r>
        <w:t xml:space="preserve"> </w:t>
      </w:r>
      <w:r>
        <w:t xml:space="preserve">convention would in any case have coded — and, in the case of the two</w:t>
      </w:r>
      <w:r>
        <w:t xml:space="preserve"> </w:t>
      </w:r>
      <w:r>
        <w:t xml:space="preserve">full-text-confirmed papers, say it identically to one another despite being</w:t>
      </w:r>
      <w:r>
        <w:t xml:space="preserve"> </w:t>
      </w:r>
      <w:r>
        <w:t xml:space="preserve">independently written studies on different target variables.</w:t>
      </w:r>
    </w:p>
    <w:p>
      <w:pPr>
        <w:pStyle w:val="BodyText"/>
      </w:pPr>
      <w:r>
        <w:t xml:space="preserve">The reliability of the instrument itself will be reported, not assumed: a random</w:t>
      </w:r>
      <w:r>
        <w:t xml:space="preserve"> </w:t>
      </w:r>
      <w:r>
        <w:t xml:space="preserve">15% of the fully coded corpus will be independently double-coded,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reported per field, and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will have its</w:t>
      </w:r>
      <w:r>
        <w:t xml:space="preserve"> </w:t>
      </w:r>
      <w:r>
        <w:t xml:space="preserve">decision rule rewritten and be recoded in full rather than reported with a caveat.</w:t>
      </w:r>
      <w:r>
        <w:t xml:space="preserve"> </w:t>
      </w:r>
      <w:r>
        <w:t xml:space="preserve">This procedure, and its result, are reported in full in the completed manuscript.</w:t>
      </w:r>
    </w:p>
    <w:bookmarkEnd w:id="55"/>
    <w:bookmarkStart w:id="56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seed corpus and the taxonomy built from it are sufficient to state a research</w:t>
      </w:r>
      <w:r>
        <w:t xml:space="preserve"> </w:t>
      </w:r>
      <w:r>
        <w:t xml:space="preserve">agenda now, even though the systematic audit that will refine it is not yet</w:t>
      </w:r>
      <w:r>
        <w:t xml:space="preserve"> </w:t>
      </w:r>
      <w:r>
        <w:t xml:space="preserve">complete. Ten directions follow, each stated as a testable question paired with the</w:t>
      </w:r>
      <w:r>
        <w:t xml:space="preserve"> </w:t>
      </w:r>
      <w:r>
        <w:t xml:space="preserve">data and method that would settle 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baseline.</w:t>
      </w:r>
      <w:r>
        <w:t xml:space="preserve"> </w:t>
      </w:r>
      <w:r>
        <w:t xml:space="preserve">For every H1/H2 study reporting a hybrid model,</w:t>
      </w:r>
      <w:r>
        <w:t xml:space="preserve"> </w:t>
      </w:r>
      <w:r>
        <w:t xml:space="preserve">does the paper also report the same base learner tuned conventionally, on the</w:t>
      </w:r>
      <w:r>
        <w:t xml:space="preserve"> </w:t>
      </w:r>
      <w:r>
        <w:t xml:space="preserve">same partition and metric, under a comparable search budget? §9’s preliminary</w:t>
      </w:r>
      <w:r>
        <w:t xml:space="preserve"> </w:t>
      </w:r>
      <w:r>
        <w:t xml:space="preserve">evidence suggests the answer is usually no; the completed audit will report how</w:t>
      </w:r>
      <w:r>
        <w:t xml:space="preserve"> </w:t>
      </w:r>
      <w:r>
        <w:t xml:space="preserve">often, across the full corpus, not just the five within-paper cases examined</w:t>
      </w:r>
      <w:r>
        <w:t xml:space="preserve"> </w:t>
      </w:r>
      <w:r>
        <w:t xml:space="preserve">so far.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eight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(§7). A systematic re-derivation, from the LTPP database directly,</w:t>
      </w:r>
      <w:r>
        <w:t xml:space="preserve"> </w:t>
      </w:r>
      <w:r>
        <w:t xml:space="preserve">of whether each paper’s published cross-validation folds respect section-level</w:t>
      </w:r>
      <w:r>
        <w:t xml:space="preserve"> </w:t>
      </w:r>
      <w:r>
        <w:t xml:space="preserve">grouping would settle a question none of the eight papers’ available abstracts</w:t>
      </w:r>
      <w:r>
        <w:t xml:space="preserve"> </w:t>
      </w:r>
      <w:r>
        <w:t xml:space="preserve">answers, and would be the single highest-value full-text verification task for</w:t>
      </w:r>
      <w:r>
        <w:t xml:space="preserve"> </w:t>
      </w:r>
      <w:r>
        <w:t xml:space="preserve">the completed audit given how much of the corpus’s rutting/cracking/IRI</w:t>
      </w:r>
      <w:r>
        <w:t xml:space="preserve"> </w:t>
      </w:r>
      <w:r>
        <w:t xml:space="preserve">evidence currently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leakage question.</w:t>
      </w:r>
      <w:r>
        <w:t xml:space="preserve"> </w:t>
      </w:r>
      <w:r>
        <w:t xml:space="preserve">A wider harvest pass found H6 is rare but not</w:t>
      </w:r>
      <w:r>
        <w:t xml:space="preserve"> </w:t>
      </w:r>
      <w:r>
        <w:t xml:space="preserve">absent (§8) —</w:t>
      </w:r>
      <w:r>
        <w:t xml:space="preserve"> </w:t>
      </w:r>
      <w:r>
        <w:t xml:space="preserve">Kaloop et al. (2020)</w:t>
      </w:r>
      <w:r>
        <w:t xml:space="preserve"> </w:t>
      </w:r>
      <w:r>
        <w:t xml:space="preserve">is an abstract-confirmed wavelet-decomposition</w:t>
      </w:r>
      <w:r>
        <w:t xml:space="preserve"> </w:t>
      </w:r>
      <w:r>
        <w:t xml:space="preserve">exemplar, and</w:t>
      </w:r>
      <w:r>
        <w:t xml:space="preserve"> </w:t>
      </w:r>
      <w:r>
        <w:t xml:space="preserve">Zhang et al. (2025)</w:t>
      </w:r>
      <w:r>
        <w:t xml:space="preserve"> </w:t>
      </w:r>
      <w:r>
        <w:t xml:space="preserve">a provisional EEMD-based one. Both were</w:t>
      </w:r>
      <w:r>
        <w:t xml:space="preserve"> </w:t>
      </w:r>
      <w:r>
        <w:t xml:space="preserve">located too late for full-text access before this draft, and both publishers</w:t>
      </w:r>
      <w:r>
        <w:t xml:space="preserve"> </w:t>
      </w:r>
      <w:r>
        <w:t xml:space="preserve">blocked automated fetching. Whether the decomposition step in either was fitted</w:t>
      </w:r>
      <w:r>
        <w:t xml:space="preserve"> </w:t>
      </w:r>
      <w:r>
        <w:t xml:space="preserve">before or after the train/test split — the specific failure mode this taxonomy</w:t>
      </w:r>
      <w:r>
        <w:t xml:space="preserve"> </w:t>
      </w:r>
      <w:r>
        <w:t xml:space="preserve">names for H6 — is the highest-priority open full-text verification task for the</w:t>
      </w:r>
      <w:r>
        <w:t xml:space="preserve"> </w:t>
      </w:r>
      <w:r>
        <w:t xml:space="preserve">type, now that</w:t>
      </w:r>
      <w:r>
        <w:t xml:space="preserve"> </w:t>
      </w:r>
      <w:r>
        <w:t xml:space="preserve">“does an H6 exemplar exist”</w:t>
      </w:r>
      <w:r>
        <w:t xml:space="preserve"> </w:t>
      </w:r>
      <w:r>
        <w:t xml:space="preserve">is no longer the open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has moved past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was, in an earlier phase of this review, the seed corpus’s only clear H3 case;</w:t>
      </w:r>
      <w:r>
        <w:t xml:space="preserve"> </w:t>
      </w:r>
      <w:r>
        <w:t xml:space="preserve">a single 2026 harvest pass located nine further PINN studies published between</w:t>
      </w:r>
      <w:r>
        <w:t xml:space="preserve"> </w:t>
      </w:r>
      <w:r>
        <w:t xml:space="preserve">2024 and 2026</w:t>
      </w:r>
      <w:r>
        <w:t xml:space="preserve"> </w:t>
      </w:r>
      <w:r>
        <w:t xml:space="preserve">(Han et al., 2024; Kargah-Ostadi et al., 2024; Li et al., 2025; Liu et al., 2026; Luo et al., 2026; Quan et al., 2025; Taheri et al., 2025; Wang et al., 2024; Xing et al., 2026)</w:t>
      </w:r>
      <w:r>
        <w:t xml:space="preserve">, none yet full-text verified. That a single</w:t>
      </w:r>
      <w:r>
        <w:t xml:space="preserve"> </w:t>
      </w:r>
      <w:r>
        <w:t xml:space="preserve">targeted search surfaced this many suggests physics-informed learning in</w:t>
      </w:r>
      <w:r>
        <w:t xml:space="preserve"> </w:t>
      </w:r>
      <w:r>
        <w:t xml:space="preserve">pavement engineering is past the single-exemplar stage and entering a genuine</w:t>
      </w:r>
      <w:r>
        <w:t xml:space="preserve"> </w:t>
      </w:r>
      <w:r>
        <w:t xml:space="preserve">growth phase circa 2024–2026 — itself a bibliometric finding worth stating</w:t>
      </w:r>
      <w:r>
        <w:t xml:space="preserve"> </w:t>
      </w:r>
      <w:r>
        <w:t xml:space="preserve">plainly rather than the more cautious one-exemplar framing this item originally</w:t>
      </w:r>
      <w:r>
        <w:t xml:space="preserve"> </w:t>
      </w:r>
      <w:r>
        <w:t xml:space="preserve">posed as an open question. What remains genuinely open is comparative: does</w:t>
      </w:r>
      <w:r>
        <w:t xml:space="preserve"> </w:t>
      </w:r>
      <w:r>
        <w:t xml:space="preserve">this cohort’s physics constraint measurably outperform an unconstrained network</w:t>
      </w:r>
      <w:r>
        <w:t xml:space="preserve"> </w:t>
      </w:r>
      <w:r>
        <w:t xml:space="preserve">on the same data, or is</w:t>
      </w:r>
      <w:r>
        <w:t xml:space="preserve"> </w:t>
      </w:r>
      <w:r>
        <w:t xml:space="preserve">“physics-informed”</w:t>
      </w:r>
      <w:r>
        <w:t xml:space="preserve"> </w:t>
      </w:r>
      <w:r>
        <w:t xml:space="preserve">becoming this literature’s next</w:t>
      </w:r>
      <w:r>
        <w:t xml:space="preserve"> </w:t>
      </w:r>
      <w:r>
        <w:t xml:space="preserve">under-audited novelty label the way</w:t>
      </w:r>
      <w:r>
        <w:t xml:space="preserve"> </w:t>
      </w:r>
      <w:r>
        <w:t xml:space="preserve">“hybrid”</w:t>
      </w:r>
      <w:r>
        <w:t xml:space="preserve"> </w:t>
      </w:r>
      <w:r>
        <w:t xml:space="preserve">already is (§1)?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56"/>
    <w:bookmarkStart w:id="57" w:name="sec-conclusions"/>
    <w:p>
      <w:pPr>
        <w:pStyle w:val="Heading1"/>
      </w:pPr>
      <w:r>
        <w:t xml:space="preserve">14. Conclusions</w:t>
      </w:r>
    </w:p>
    <w:p>
      <w:pPr>
        <w:pStyle w:val="BlockText"/>
      </w:pPr>
      <w:r>
        <w:rPr>
          <w:b/>
          <w:bCs/>
        </w:rPr>
        <w:t xml:space="preserve">Status note.</w:t>
      </w:r>
      <w:r>
        <w:t xml:space="preserve"> </w:t>
      </w:r>
      <w:r>
        <w:t xml:space="preserve">The conclusions below are provisional, drawn from the</w:t>
      </w:r>
      <w:r>
        <w:t xml:space="preserve"> </w:t>
      </w:r>
      <w:r>
        <w:t xml:space="preserve">seed-corpus evidence assembled so far (n = 131 primary</w:t>
      </w:r>
      <w:r>
        <w:t xml:space="preserve"> </w:t>
      </w:r>
      <w:r>
        <w:t xml:space="preserve">studies, of which 93</w:t>
      </w:r>
      <w:r>
        <w:t xml:space="preserve"> </w:t>
      </w:r>
      <w:r>
        <w:t xml:space="preserve">are coded as hybrid under the structural definition in</w:t>
      </w:r>
      <w:r>
        <w:t xml:space="preserve"> </w:t>
      </w:r>
      <w:r>
        <w:t xml:space="preserve">§2.3). They are stated with the confidence the current evidence supports, not</w:t>
      </w:r>
      <w:r>
        <w:t xml:space="preserve"> </w:t>
      </w:r>
      <w:r>
        <w:t xml:space="preserve">the confidence a completed 300–500-study audit would carry, and every</w:t>
      </w:r>
      <w:r>
        <w:t xml:space="preserve"> </w:t>
      </w:r>
      <w:r>
        <w:t xml:space="preserve">numbered point below is written so that the completed audit can confirm,</w:t>
      </w:r>
      <w:r>
        <w:t xml:space="preserve"> </w:t>
      </w:r>
      <w:r>
        <w:t xml:space="preserve">revise, or overturn it without requiring the argument to be restructured.</w:t>
      </w:r>
      <w:r>
        <w:t xml:space="preserve"> </w:t>
      </w:r>
      <w:r>
        <w:t xml:space="preserve">This manuscript is not submission-ready while this note is still accurate:</w:t>
      </w:r>
      <w:r>
        <w:t xml:space="preserve"> </w:t>
      </w:r>
      <w:r>
        <w:t xml:space="preserve">submission should follow, not precede, completion of the full-text extraction</w:t>
      </w:r>
      <w:r>
        <w:t xml:space="preserve"> </w:t>
      </w:r>
      <w:r>
        <w:t xml:space="preserve">and audit these conclusions currently anticipate.</w:t>
      </w:r>
    </w:p>
    <w:p>
      <w:pPr>
        <w:pStyle w:val="FirstParagraph"/>
      </w:pPr>
      <w:r>
        <w:t xml:space="preserve">Four conclusions follow from the evidence assembled so far.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is offered as a</w:t>
      </w:r>
      <w:r>
        <w:t xml:space="preserve"> </w:t>
      </w:r>
      <w:r>
        <w:t xml:space="preserve">partial remedy, and the completed manuscript will report, from the finished</w:t>
      </w:r>
      <w:r>
        <w:t xml:space="preserve"> </w:t>
      </w:r>
      <w:r>
        <w:t xml:space="preserve">harvest, what fraction of the eligible literature a label-only search would have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(§12)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the completed audit is designed to test.</w:t>
      </w:r>
    </w:p>
    <w:bookmarkEnd w:id="57"/>
    <w:bookmarkStart w:id="58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58"/>
    <w:bookmarkStart w:id="59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PLACEHOLDER — to be completed per the target journal’s wording before submission.</w:t>
      </w:r>
      <w:r>
        <w:t xml:space="preserve"> </w:t>
      </w:r>
      <w:r>
        <w:t xml:space="preserve">Elsevier requires a statement naming the tool, the purpose of use, and confirmation</w:t>
      </w:r>
      <w:r>
        <w:t xml:space="preserve"> </w:t>
      </w:r>
      <w:r>
        <w:t xml:space="preserve">that the authors reviewed and take full responsibility for the content. Disclosed</w:t>
      </w:r>
      <w:r>
        <w:t xml:space="preserve"> </w:t>
      </w:r>
      <w:r>
        <w:t xml:space="preserve">use is permitted; undisclosed use is not.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r>
        <w:t xml:space="preserve">[REPOSITORY URL].</w:t>
      </w:r>
    </w:p>
    <w:bookmarkEnd w:id="60"/>
    <w:bookmarkStart w:id="200" w:name="references"/>
    <w:p>
      <w:pPr>
        <w:pStyle w:val="Heading1"/>
      </w:pPr>
      <w:r>
        <w:t xml:space="preserve">References</w:t>
      </w:r>
    </w:p>
    <w:bookmarkStart w:id="199" w:name="refs"/>
    <w:bookmarkStart w:id="62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61">
        <w:r>
          <w:rPr>
            <w:rStyle w:val="Hyperlink"/>
          </w:rPr>
          <w:t xml:space="preserve">https://doi.org/10.1109/access.2022.3196660</w:t>
        </w:r>
      </w:hyperlink>
    </w:p>
    <w:bookmarkEnd w:id="62"/>
    <w:bookmarkStart w:id="64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63">
        <w:r>
          <w:rPr>
            <w:rStyle w:val="Hyperlink"/>
          </w:rPr>
          <w:t xml:space="preserve">https://doi.org/10.1007/s43995-025-00214-0</w:t>
        </w:r>
      </w:hyperlink>
    </w:p>
    <w:bookmarkEnd w:id="64"/>
    <w:bookmarkStart w:id="66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65">
        <w:r>
          <w:rPr>
            <w:rStyle w:val="Hyperlink"/>
          </w:rPr>
          <w:t xml:space="preserve">https://doi.org/10.1007/s41024-025-00667-9</w:t>
        </w:r>
      </w:hyperlink>
    </w:p>
    <w:bookmarkEnd w:id="66"/>
    <w:bookmarkStart w:id="68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67">
        <w:r>
          <w:rPr>
            <w:rStyle w:val="Hyperlink"/>
          </w:rPr>
          <w:t xml:space="preserve">https://doi.org/10.1007/s44290-025-00381-y</w:t>
        </w:r>
      </w:hyperlink>
    </w:p>
    <w:bookmarkEnd w:id="68"/>
    <w:bookmarkStart w:id="70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69">
        <w:r>
          <w:rPr>
            <w:rStyle w:val="Hyperlink"/>
          </w:rPr>
          <w:t xml:space="preserve">https://doi.org/10.1186/s44147-025-00623-x</w:t>
        </w:r>
      </w:hyperlink>
    </w:p>
    <w:bookmarkEnd w:id="70"/>
    <w:bookmarkStart w:id="72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71">
        <w:r>
          <w:rPr>
            <w:rStyle w:val="Hyperlink"/>
          </w:rPr>
          <w:t xml:space="preserve">https://doi.org/10.1007/s41024-024-00499-z</w:t>
        </w:r>
      </w:hyperlink>
    </w:p>
    <w:bookmarkEnd w:id="72"/>
    <w:bookmarkStart w:id="74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73">
        <w:r>
          <w:rPr>
            <w:rStyle w:val="Hyperlink"/>
          </w:rPr>
          <w:t xml:space="preserve">https://doi.org/10.3390/constrmater6010006</w:t>
        </w:r>
      </w:hyperlink>
    </w:p>
    <w:bookmarkEnd w:id="74"/>
    <w:bookmarkStart w:id="76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75">
        <w:r>
          <w:rPr>
            <w:rStyle w:val="Hyperlink"/>
          </w:rPr>
          <w:t xml:space="preserve">https://doi.org/10.1007/s41062-025-02249-7</w:t>
        </w:r>
      </w:hyperlink>
    </w:p>
    <w:bookmarkEnd w:id="76"/>
    <w:bookmarkStart w:id="78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77">
        <w:r>
          <w:rPr>
            <w:rStyle w:val="Hyperlink"/>
          </w:rPr>
          <w:t xml:space="preserve">https://doi.org/10.1186/s44147-025-00706-9</w:t>
        </w:r>
      </w:hyperlink>
    </w:p>
    <w:bookmarkEnd w:id="78"/>
    <w:bookmarkStart w:id="80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79">
        <w:r>
          <w:rPr>
            <w:rStyle w:val="Hyperlink"/>
          </w:rPr>
          <w:t xml:space="preserve">https://doi.org/10.32604/cmc.2023.042183</w:t>
        </w:r>
      </w:hyperlink>
    </w:p>
    <w:bookmarkEnd w:id="80"/>
    <w:bookmarkStart w:id="82" w:name="ref-AyenuPrah2008evaluating"/>
    <w:p>
      <w:pPr>
        <w:pStyle w:val="Bibliography"/>
      </w:pPr>
      <w:r>
        <w:t xml:space="preserve">Ayenu-Prah, A., Attoh-Okine, N., 2008. Evaluating pavement cracks with bidimensional empirical mode decomposition. EURASIP Journal on Advances in Signal Processing.</w:t>
      </w:r>
      <w:r>
        <w:t xml:space="preserve"> </w:t>
      </w:r>
      <w:hyperlink r:id="rId81">
        <w:r>
          <w:rPr>
            <w:rStyle w:val="Hyperlink"/>
          </w:rPr>
          <w:t xml:space="preserve">https://doi.org/10.1155/2008/861701</w:t>
        </w:r>
      </w:hyperlink>
    </w:p>
    <w:bookmarkEnd w:id="82"/>
    <w:bookmarkStart w:id="84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83">
        <w:r>
          <w:rPr>
            <w:rStyle w:val="Hyperlink"/>
          </w:rPr>
          <w:t xml:space="preserve">https://doi.org/10.1038/s41598-022-17429-z</w:t>
        </w:r>
      </w:hyperlink>
    </w:p>
    <w:bookmarkEnd w:id="84"/>
    <w:bookmarkStart w:id="86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85">
        <w:r>
          <w:rPr>
            <w:rStyle w:val="Hyperlink"/>
          </w:rPr>
          <w:t xml:space="preserve">https://doi.org/10.1109/access.2020.2966881</w:t>
        </w:r>
      </w:hyperlink>
    </w:p>
    <w:bookmarkEnd w:id="86"/>
    <w:bookmarkStart w:id="88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87">
        <w:r>
          <w:rPr>
            <w:rStyle w:val="Hyperlink"/>
          </w:rPr>
          <w:t xml:space="preserve">https://doi.org/10.1186/s43065-023-00082-9</w:t>
        </w:r>
      </w:hyperlink>
    </w:p>
    <w:bookmarkEnd w:id="88"/>
    <w:bookmarkStart w:id="90" w:name="ref-Deng2025enhancing"/>
    <w:p>
      <w:pPr>
        <w:pStyle w:val="Bibliography"/>
      </w:pPr>
      <w:r>
        <w:t xml:space="preserve">Deng, Y., Yu, H., Niu, P., Guo, F., 2025. Enhancing pavement crack detection using a hybrid convolutional neural network-transformer architecture. Transportation Research Record.</w:t>
      </w:r>
      <w:r>
        <w:t xml:space="preserve"> </w:t>
      </w:r>
      <w:hyperlink r:id="rId89">
        <w:r>
          <w:rPr>
            <w:rStyle w:val="Hyperlink"/>
          </w:rPr>
          <w:t xml:space="preserve">https://doi.org/10.1177/03611981251329046</w:t>
        </w:r>
      </w:hyperlink>
    </w:p>
    <w:bookmarkEnd w:id="90"/>
    <w:bookmarkStart w:id="92" w:name="ref-Duan2024resilient"/>
    <w:p>
      <w:pPr>
        <w:pStyle w:val="Bibliography"/>
      </w:pPr>
      <w:r>
        <w:t xml:space="preserve">Duan, X., 2024. Assessment of resilient modulus of soil using hybrid extreme gradient boosting models. Scientific Reports.</w:t>
      </w:r>
      <w:r>
        <w:t xml:space="preserve"> </w:t>
      </w:r>
      <w:hyperlink r:id="rId91">
        <w:r>
          <w:rPr>
            <w:rStyle w:val="Hyperlink"/>
          </w:rPr>
          <w:t xml:space="preserve">https://doi.org/10.1038/s41598-024-81311-3</w:t>
        </w:r>
      </w:hyperlink>
    </w:p>
    <w:bookmarkEnd w:id="92"/>
    <w:bookmarkStart w:id="94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93">
        <w:r>
          <w:rPr>
            <w:rStyle w:val="Hyperlink"/>
          </w:rPr>
          <w:t xml:space="preserve">https://doi.org/10.1139/cjce-2017-0132</w:t>
        </w:r>
      </w:hyperlink>
    </w:p>
    <w:bookmarkEnd w:id="94"/>
    <w:bookmarkStart w:id="96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95">
        <w:r>
          <w:rPr>
            <w:rStyle w:val="Hyperlink"/>
          </w:rPr>
          <w:t xml:space="preserve">https://doi.org/10.1109/access.2020.2991968</w:t>
        </w:r>
      </w:hyperlink>
    </w:p>
    <w:bookmarkEnd w:id="96"/>
    <w:bookmarkStart w:id="98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97">
        <w:r>
          <w:rPr>
            <w:rStyle w:val="Hyperlink"/>
          </w:rPr>
          <w:t xml:space="preserve">https://doi.org/10.3390/infrastructures11040127</w:t>
        </w:r>
      </w:hyperlink>
    </w:p>
    <w:bookmarkEnd w:id="98"/>
    <w:bookmarkStart w:id="100" w:name="ref-Ghanizadeh2023soft"/>
    <w:p>
      <w:pPr>
        <w:pStyle w:val="Bibliography"/>
      </w:pPr>
      <w:r>
        <w:t xml:space="preserve">Ghanizadeh, A.R., Aziminejad, A., Asteris, P.G., others</w:t>
      </w:r>
      <w:r>
        <w:t xml:space="preserve">, 2023. Soft computing to predict earthquake-induced soil liquefaction via CPT results. Infrastructures.</w:t>
      </w:r>
      <w:r>
        <w:t xml:space="preserve"> </w:t>
      </w:r>
      <w:hyperlink r:id="rId99">
        <w:r>
          <w:rPr>
            <w:rStyle w:val="Hyperlink"/>
          </w:rPr>
          <w:t xml:space="preserve">https://doi.org/10.3390/infrastructures8080125</w:t>
        </w:r>
      </w:hyperlink>
    </w:p>
    <w:bookmarkEnd w:id="100"/>
    <w:bookmarkStart w:id="102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101">
        <w:r>
          <w:rPr>
            <w:rStyle w:val="Hyperlink"/>
          </w:rPr>
          <w:t xml:space="preserve">https://doi.org/10.1007/s41062-020-00312-z</w:t>
        </w:r>
      </w:hyperlink>
    </w:p>
    <w:bookmarkEnd w:id="102"/>
    <w:bookmarkStart w:id="104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103">
        <w:r>
          <w:rPr>
            <w:rStyle w:val="Hyperlink"/>
          </w:rPr>
          <w:t xml:space="preserve">https://doi.org/10.1016/j.conbuildmat.2025.143050</w:t>
        </w:r>
      </w:hyperlink>
    </w:p>
    <w:bookmarkEnd w:id="104"/>
    <w:bookmarkStart w:id="106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105">
        <w:r>
          <w:rPr>
            <w:rStyle w:val="Hyperlink"/>
          </w:rPr>
          <w:t xml:space="preserve">https://doi.org/10.1038/s41598-024-61313-x</w:t>
        </w:r>
      </w:hyperlink>
    </w:p>
    <w:bookmarkEnd w:id="106"/>
    <w:bookmarkStart w:id="108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107">
        <w:r>
          <w:rPr>
            <w:rStyle w:val="Hyperlink"/>
          </w:rPr>
          <w:t xml:space="preserve">https://doi.org/10.1016/j.sandf.2020.02.010</w:t>
        </w:r>
      </w:hyperlink>
    </w:p>
    <w:bookmarkEnd w:id="108"/>
    <w:bookmarkStart w:id="110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109">
        <w:r>
          <w:rPr>
            <w:rStyle w:val="Hyperlink"/>
          </w:rPr>
          <w:t xml:space="preserve">https://doi.org/10.3390/data3030028</w:t>
        </w:r>
      </w:hyperlink>
    </w:p>
    <w:bookmarkEnd w:id="110"/>
    <w:bookmarkStart w:id="112" w:name="ref-Guan2025enhanced"/>
    <w:p>
      <w:pPr>
        <w:pStyle w:val="Bibliography"/>
      </w:pPr>
      <w:r>
        <w:t xml:space="preserve">Guan, Y., Zhang, B., Li, Z., Zhang, D., 2025. Enhanced flow number prediction of asphalt mixtures using stacking ensemble-based machine learning model and grey relational analysis. Construction and Building Materials.</w:t>
      </w:r>
      <w:r>
        <w:t xml:space="preserve"> </w:t>
      </w:r>
      <w:hyperlink r:id="rId111">
        <w:r>
          <w:rPr>
            <w:rStyle w:val="Hyperlink"/>
          </w:rPr>
          <w:t xml:space="preserve">https://doi.org/10.1016/j.conbuildmat.2025.140001</w:t>
        </w:r>
      </w:hyperlink>
    </w:p>
    <w:bookmarkEnd w:id="112"/>
    <w:bookmarkStart w:id="114" w:name="ref-Guo2023transformer"/>
    <w:p>
      <w:pPr>
        <w:pStyle w:val="Bibliography"/>
      </w:pPr>
      <w:r>
        <w:t xml:space="preserve">Guo, F., Liu, J., Lv, C., Yu, H., 2023. A novel transformer-based network with attention mechanism for automatic pavement crack detection. Construction and Building Materials.</w:t>
      </w:r>
      <w:r>
        <w:t xml:space="preserve"> </w:t>
      </w:r>
      <w:hyperlink r:id="rId113">
        <w:r>
          <w:rPr>
            <w:rStyle w:val="Hyperlink"/>
          </w:rPr>
          <w:t xml:space="preserve">https://doi.org/10.1016/j.conbuildmat.2023.131852</w:t>
        </w:r>
      </w:hyperlink>
    </w:p>
    <w:bookmarkEnd w:id="114"/>
    <w:bookmarkStart w:id="116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115">
        <w:r>
          <w:rPr>
            <w:rStyle w:val="Hyperlink"/>
          </w:rPr>
          <w:t xml:space="preserve">https://doi.org/10.1111/mice.70102</w:t>
        </w:r>
      </w:hyperlink>
    </w:p>
    <w:bookmarkEnd w:id="116"/>
    <w:bookmarkStart w:id="118" w:name="ref-Gupta2026stacked"/>
    <w:p>
      <w:pPr>
        <w:pStyle w:val="Bibliography"/>
      </w:pPr>
      <w:r>
        <w:t xml:space="preserve">Gupta, A., Kumar, P., 2026. Stacked ensemble learning with SHAP-prioritized intervention ranking for pavement maintenance automation. International Journal of Pavement Research and Technology.</w:t>
      </w:r>
      <w:r>
        <w:t xml:space="preserve"> </w:t>
      </w:r>
      <w:hyperlink r:id="rId117">
        <w:r>
          <w:rPr>
            <w:rStyle w:val="Hyperlink"/>
          </w:rPr>
          <w:t xml:space="preserve">https://doi.org/10.1007/s42947-026-00866-8</w:t>
        </w:r>
      </w:hyperlink>
    </w:p>
    <w:bookmarkEnd w:id="118"/>
    <w:bookmarkStart w:id="120" w:name="ref-Han2024pinn"/>
    <w:p>
      <w:pPr>
        <w:pStyle w:val="Bibliography"/>
      </w:pPr>
      <w:r>
        <w:t xml:space="preserve">Han, C., Zhang, J., Tu, Z., Ma, T., 2024. PINN-AFP: A novel c-s curve estimation method for asphalt mixtures fatigue prediction based on physics-informed neural network. Construction and Building Materials.</w:t>
      </w:r>
      <w:r>
        <w:t xml:space="preserve"> </w:t>
      </w:r>
      <w:hyperlink r:id="rId119">
        <w:r>
          <w:rPr>
            <w:rStyle w:val="Hyperlink"/>
          </w:rPr>
          <w:t xml:space="preserve">https://doi.org/10.1016/j.conbuildmat.2024.135070</w:t>
        </w:r>
      </w:hyperlink>
    </w:p>
    <w:bookmarkEnd w:id="120"/>
    <w:bookmarkStart w:id="122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121">
        <w:r>
          <w:rPr>
            <w:rStyle w:val="Hyperlink"/>
          </w:rPr>
          <w:t xml:space="preserve">https://doi.org/10.1016/j.cscm.2022.e00991</w:t>
        </w:r>
      </w:hyperlink>
    </w:p>
    <w:bookmarkEnd w:id="122"/>
    <w:bookmarkStart w:id="124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123">
        <w:r>
          <w:rPr>
            <w:rStyle w:val="Hyperlink"/>
          </w:rPr>
          <w:t xml:space="preserve">https://doi.org/10.3390/infrastructures6020028</w:t>
        </w:r>
      </w:hyperlink>
    </w:p>
    <w:bookmarkEnd w:id="124"/>
    <w:bookmarkStart w:id="126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125">
        <w:r>
          <w:rPr>
            <w:rStyle w:val="Hyperlink"/>
          </w:rPr>
          <w:t xml:space="preserve">https://doi.org/10.1016/j.eng.2020.07.030</w:t>
        </w:r>
      </w:hyperlink>
    </w:p>
    <w:bookmarkEnd w:id="126"/>
    <w:bookmarkStart w:id="128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127">
        <w:r>
          <w:rPr>
            <w:rStyle w:val="Hyperlink"/>
          </w:rPr>
          <w:t xml:space="preserve">https://doi.org/10.3390/ma18122913</w:t>
        </w:r>
      </w:hyperlink>
    </w:p>
    <w:bookmarkEnd w:id="128"/>
    <w:bookmarkStart w:id="130" w:name="ref-Jalal2023indirect"/>
    <w:p>
      <w:pPr>
        <w:pStyle w:val="Bibliography"/>
      </w:pPr>
      <w:r>
        <w:t xml:space="preserve">Jalal, F.E., Iqbal, M., Khan, M.A., others</w:t>
      </w:r>
      <w:r>
        <w:t xml:space="preserve">, 2023. Indirect estimation of swelling pressure of expansive soil: GEP versus MEP modelling. Adv. Mater. Sci. Eng.</w:t>
      </w:r>
      <w:r>
        <w:t xml:space="preserve"> </w:t>
      </w:r>
      <w:hyperlink r:id="rId129">
        <w:r>
          <w:rPr>
            <w:rStyle w:val="Hyperlink"/>
          </w:rPr>
          <w:t xml:space="preserve">https://doi.org/10.1155/2023/1827117</w:t>
        </w:r>
      </w:hyperlink>
    </w:p>
    <w:bookmarkEnd w:id="130"/>
    <w:bookmarkStart w:id="132" w:name="ref-Jalal2024swarm"/>
    <w:p>
      <w:pPr>
        <w:pStyle w:val="Bibliography"/>
      </w:pPr>
      <w:r>
        <w:t xml:space="preserve">Jalal, F.E., Iqbal, M., Khan, W.A., others</w:t>
      </w:r>
      <w:r>
        <w:t xml:space="preserve">, 2024. ANN-based swarm intelligence for predicting expansive soil swell pressure and compression strength. Scientific Reports.</w:t>
      </w:r>
      <w:r>
        <w:t xml:space="preserve"> </w:t>
      </w:r>
      <w:hyperlink r:id="rId131">
        <w:r>
          <w:rPr>
            <w:rStyle w:val="Hyperlink"/>
          </w:rPr>
          <w:t xml:space="preserve">https://doi.org/10.1038/s41598-024-65547-7</w:t>
        </w:r>
      </w:hyperlink>
    </w:p>
    <w:bookmarkEnd w:id="132"/>
    <w:bookmarkStart w:id="134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33">
        <w:r>
          <w:rPr>
            <w:rStyle w:val="Hyperlink"/>
          </w:rPr>
          <w:t xml:space="preserve">https://doi.org/10.3390/asi9070133</w:t>
        </w:r>
      </w:hyperlink>
    </w:p>
    <w:bookmarkEnd w:id="134"/>
    <w:bookmarkStart w:id="136" w:name="ref-Kaloop2020wavelet"/>
    <w:p>
      <w:pPr>
        <w:pStyle w:val="Bibliography"/>
      </w:pPr>
      <w:r>
        <w:t xml:space="preserve">Kaloop, M.R., El-Badawy, S.M., Ahn, J., Sim, H.-B., Hu, J.W., Abd El-Hakim, R.T., 2020. A hybrid wavelet-optimally-pruned extreme learning machine model for the estimation of international roughness index of rigid pavements. International Journal of Pavement Engineering.</w:t>
      </w:r>
      <w:r>
        <w:t xml:space="preserve"> </w:t>
      </w:r>
      <w:hyperlink r:id="rId135">
        <w:r>
          <w:rPr>
            <w:rStyle w:val="Hyperlink"/>
          </w:rPr>
          <w:t xml:space="preserve">https://doi.org/10.1080/10298436.2020.1776281</w:t>
        </w:r>
      </w:hyperlink>
    </w:p>
    <w:bookmarkEnd w:id="136"/>
    <w:bookmarkStart w:id="138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37">
        <w:r>
          <w:rPr>
            <w:rStyle w:val="Hyperlink"/>
          </w:rPr>
          <w:t xml:space="preserve">https://doi.org/10.3390/app9163221</w:t>
        </w:r>
      </w:hyperlink>
    </w:p>
    <w:bookmarkEnd w:id="138"/>
    <w:bookmarkStart w:id="140" w:name="ref-KargahOstadi2024physics"/>
    <w:p>
      <w:pPr>
        <w:pStyle w:val="Bibliography"/>
      </w:pPr>
      <w:r>
        <w:t xml:space="preserve">Kargah-Ostadi, N., Vasylevskyi, K., Ablets, A., Drach, A., 2024. Physics-informed neural networks to advance pavement engineering and management. Road Materials and Pavement Design.</w:t>
      </w:r>
      <w:r>
        <w:t xml:space="preserve"> </w:t>
      </w:r>
      <w:hyperlink r:id="rId139">
        <w:r>
          <w:rPr>
            <w:rStyle w:val="Hyperlink"/>
          </w:rPr>
          <w:t xml:space="preserve">https://doi.org/10.1080/14680629.2024.2315073</w:t>
        </w:r>
      </w:hyperlink>
    </w:p>
    <w:bookmarkEnd w:id="140"/>
    <w:bookmarkStart w:id="142" w:name="ref-Khatti2025california"/>
    <w:p>
      <w:pPr>
        <w:pStyle w:val="Bibliography"/>
      </w:pPr>
      <w:r>
        <w:t xml:space="preserve">Khatti, J., Grover, K.S., 2025. California bearing ratio estimation using AI: A review of current practices and emerging trends. Soils and Rocks.</w:t>
      </w:r>
      <w:r>
        <w:t xml:space="preserve"> </w:t>
      </w:r>
      <w:hyperlink r:id="rId141">
        <w:r>
          <w:rPr>
            <w:rStyle w:val="Hyperlink"/>
          </w:rPr>
          <w:t xml:space="preserve">https://doi.org/10.28927/sr.2026.000725</w:t>
        </w:r>
      </w:hyperlink>
    </w:p>
    <w:bookmarkEnd w:id="142"/>
    <w:bookmarkStart w:id="144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43">
        <w:r>
          <w:rPr>
            <w:rStyle w:val="Hyperlink"/>
          </w:rPr>
          <w:t xml:space="preserve">https://doi.org/10.48550/arxiv.2112.12589</w:t>
        </w:r>
      </w:hyperlink>
    </w:p>
    <w:bookmarkEnd w:id="144"/>
    <w:bookmarkStart w:id="146" w:name="ref-Li2025physics"/>
    <w:p>
      <w:pPr>
        <w:pStyle w:val="Bibliography"/>
      </w:pPr>
      <w:r>
        <w:t xml:space="preserve">Li, J., Zhang, S., Wang, X., 2025. Physics-informed neural network with fuzzy partial differential equation for pavement performance prediction. Automation in Construction.</w:t>
      </w:r>
      <w:r>
        <w:t xml:space="preserve"> </w:t>
      </w:r>
      <w:hyperlink r:id="rId145">
        <w:r>
          <w:rPr>
            <w:rStyle w:val="Hyperlink"/>
          </w:rPr>
          <w:t xml:space="preserve">https://doi.org/10.1016/j.autcon.2025.105983</w:t>
        </w:r>
      </w:hyperlink>
    </w:p>
    <w:bookmarkEnd w:id="146"/>
    <w:bookmarkStart w:id="148" w:name="ref-Liu2026physics"/>
    <w:p>
      <w:pPr>
        <w:pStyle w:val="Bibliography"/>
      </w:pPr>
      <w:r>
        <w:t xml:space="preserve">Liu, Q., Li, H., Gao, Y., Zhang, H., Li, Y., Lee, D., Wu, J., 2026. A physics-informed neural network (DM-PINN-FP): Incorporating cracking preference index for asphalt mixture fatigue prediction. Computer-Aided Civil and Infrastructure Engineering.</w:t>
      </w:r>
      <w:r>
        <w:t xml:space="preserve"> </w:t>
      </w:r>
      <w:hyperlink r:id="rId147">
        <w:r>
          <w:rPr>
            <w:rStyle w:val="Hyperlink"/>
          </w:rPr>
          <w:t xml:space="preserve">https://doi.org/10.1016/j.cacaie.2026.100171</w:t>
        </w:r>
      </w:hyperlink>
    </w:p>
    <w:bookmarkEnd w:id="148"/>
    <w:bookmarkStart w:id="150" w:name="ref-Luo2023strans"/>
    <w:p>
      <w:pPr>
        <w:pStyle w:val="Bibliography"/>
      </w:pPr>
      <w:r>
        <w:t xml:space="preserve">Luo, H., Li, J., Cai, L., Wu, M., 2023. STrans-YOLOX: Fusing swin transformer and YOLOX for automatic pavement crack detection. Applied Sciences.</w:t>
      </w:r>
      <w:r>
        <w:t xml:space="preserve"> </w:t>
      </w:r>
      <w:hyperlink r:id="rId149">
        <w:r>
          <w:rPr>
            <w:rStyle w:val="Hyperlink"/>
          </w:rPr>
          <w:t xml:space="preserve">https://doi.org/10.3390/app13031999</w:t>
        </w:r>
      </w:hyperlink>
    </w:p>
    <w:bookmarkEnd w:id="150"/>
    <w:bookmarkStart w:id="152" w:name="ref-Luo2026physics"/>
    <w:p>
      <w:pPr>
        <w:pStyle w:val="Bibliography"/>
      </w:pPr>
      <w:r>
        <w:t xml:space="preserve">Luo, X., Huang, J., Shen, L., Wang, H., Shi, Z., 2026. Physics-informed neural networks for constitutive modeling and multiphysics coupling in viscoelastic materials: Applications to asphalt pavement mechanics. Neural Networks.</w:t>
      </w:r>
      <w:r>
        <w:t xml:space="preserve"> </w:t>
      </w:r>
      <w:hyperlink r:id="rId151">
        <w:r>
          <w:rPr>
            <w:rStyle w:val="Hyperlink"/>
          </w:rPr>
          <w:t xml:space="preserve">https://doi.org/10.1016/j.neunet.2026.108803</w:t>
        </w:r>
      </w:hyperlink>
    </w:p>
    <w:bookmarkEnd w:id="152"/>
    <w:bookmarkStart w:id="154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53">
        <w:r>
          <w:rPr>
            <w:rStyle w:val="Hyperlink"/>
          </w:rPr>
          <w:t xml:space="preserve">https://doi.org/10.1007/s43995-026-00294-6</w:t>
        </w:r>
      </w:hyperlink>
    </w:p>
    <w:bookmarkEnd w:id="154"/>
    <w:bookmarkStart w:id="156" w:name="ref-Mazari2016pavement"/>
    <w:p>
      <w:pPr>
        <w:pStyle w:val="Bibliography"/>
      </w:pPr>
      <w:r>
        <w:t xml:space="preserve">Mazari, M., Rodriguez, D.D., 2016. Prediction of pavement roughness using a hybrid gene expression programming-neural network technique. J. Traffic Transp. Eng. (Engl. Ed.).</w:t>
      </w:r>
      <w:r>
        <w:t xml:space="preserve"> </w:t>
      </w:r>
      <w:hyperlink r:id="rId155">
        <w:r>
          <w:rPr>
            <w:rStyle w:val="Hyperlink"/>
          </w:rPr>
          <w:t xml:space="preserve">https://doi.org/10.1016/j.jtte.2016.09.007</w:t>
        </w:r>
      </w:hyperlink>
    </w:p>
    <w:bookmarkEnd w:id="156"/>
    <w:bookmarkStart w:id="158" w:name="ref-MoghadasNejad2011expert"/>
    <w:p>
      <w:pPr>
        <w:pStyle w:val="Bibliography"/>
      </w:pPr>
      <w:r>
        <w:t xml:space="preserve">Moghadas Nejad, F., Zakeri, H., 2011. An expert system based on wavelet transform and radon neural network for pavement distress classification. Expert Systems with Applications.</w:t>
      </w:r>
      <w:r>
        <w:t xml:space="preserve"> </w:t>
      </w:r>
      <w:hyperlink r:id="rId157">
        <w:r>
          <w:rPr>
            <w:rStyle w:val="Hyperlink"/>
          </w:rPr>
          <w:t xml:space="preserve">https://doi.org/10.1016/j.eswa.2010.12.060</w:t>
        </w:r>
      </w:hyperlink>
    </w:p>
    <w:bookmarkEnd w:id="158"/>
    <w:bookmarkStart w:id="160" w:name="ref-Nejad2011optimum"/>
    <w:p>
      <w:pPr>
        <w:pStyle w:val="Bibliography"/>
      </w:pPr>
      <w:r>
        <w:t xml:space="preserve">Nejad, F.M., Zakeri, H., 2011. An optimum feature extraction method based on wavelet–radon transform and dynamic neural network for pavement distress classification. Expert Systems with Applications.</w:t>
      </w:r>
      <w:r>
        <w:t xml:space="preserve"> </w:t>
      </w:r>
      <w:hyperlink r:id="rId159">
        <w:r>
          <w:rPr>
            <w:rStyle w:val="Hyperlink"/>
          </w:rPr>
          <w:t xml:space="preserve">https://doi.org/10.1016/j.eswa.2011.01.089</w:t>
        </w:r>
      </w:hyperlink>
    </w:p>
    <w:bookmarkEnd w:id="160"/>
    <w:bookmarkStart w:id="162" w:name="ref-Nguyen2019intelligence"/>
    <w:p>
      <w:pPr>
        <w:pStyle w:val="Bibliography"/>
      </w:pPr>
      <w:r>
        <w:t xml:space="preserve">Nguyen, H.-L., Le, T.-H., Pham, C.-T., others</w:t>
      </w:r>
      <w:r>
        <w:t xml:space="preserve">, 2019. Development of hybrid artificial intelligence approaches and a support vector machine algorithm for predicting the marshall parameters of stone matrix asphalt. Applied Sciences.</w:t>
      </w:r>
      <w:r>
        <w:t xml:space="preserve"> </w:t>
      </w:r>
      <w:hyperlink r:id="rId161">
        <w:r>
          <w:rPr>
            <w:rStyle w:val="Hyperlink"/>
          </w:rPr>
          <w:t xml:space="preserve">https://doi.org/10.3390/app9153172</w:t>
        </w:r>
      </w:hyperlink>
    </w:p>
    <w:bookmarkEnd w:id="162"/>
    <w:bookmarkStart w:id="164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63">
        <w:r>
          <w:rPr>
            <w:rStyle w:val="Hyperlink"/>
          </w:rPr>
          <w:t xml:space="preserve">https://doi.org/10.1111/mice.70169</w:t>
        </w:r>
      </w:hyperlink>
    </w:p>
    <w:bookmarkEnd w:id="164"/>
    <w:bookmarkStart w:id="166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65">
        <w:r>
          <w:rPr>
            <w:rStyle w:val="Hyperlink"/>
          </w:rPr>
          <w:t xml:space="preserve">https://doi.org/10.1177/03611981241245991</w:t>
        </w:r>
      </w:hyperlink>
    </w:p>
    <w:bookmarkEnd w:id="166"/>
    <w:bookmarkStart w:id="168" w:name="ref-Peng2026asphalt"/>
    <w:p>
      <w:pPr>
        <w:pStyle w:val="Bibliography"/>
      </w:pPr>
      <w:r>
        <w:t xml:space="preserve">Peng, C., Tang, J., Zhang, D., 2026. Prediction of asphalt pavement rutting depth based on multi-model fusion of stacking algorithm. Structural Durability &amp; Health Monitoring.</w:t>
      </w:r>
      <w:r>
        <w:t xml:space="preserve"> </w:t>
      </w:r>
      <w:hyperlink r:id="rId167">
        <w:r>
          <w:rPr>
            <w:rStyle w:val="Hyperlink"/>
          </w:rPr>
          <w:t xml:space="preserve">https://doi.org/10.32604/sdhm.2026.075421</w:t>
        </w:r>
      </w:hyperlink>
    </w:p>
    <w:bookmarkEnd w:id="168"/>
    <w:bookmarkStart w:id="170" w:name="ref-Quan2025physics"/>
    <w:p>
      <w:pPr>
        <w:pStyle w:val="Bibliography"/>
      </w:pPr>
      <w:r>
        <w:t xml:space="preserve">Quan, W., Ma, X., Shang, Z., Zhao, K., Su, M., Dong, Z., Zhao, Z., 2025. Hybrid physics-data-driven model for temperature field prediction of asphalt pavement based on physics-informed neural network. Construction and Building Materials.</w:t>
      </w:r>
      <w:r>
        <w:t xml:space="preserve"> </w:t>
      </w:r>
      <w:hyperlink r:id="rId169">
        <w:r>
          <w:rPr>
            <w:rStyle w:val="Hyperlink"/>
          </w:rPr>
          <w:t xml:space="preserve">https://doi.org/10.1016/j.conbuildmat.2025.142179</w:t>
        </w:r>
      </w:hyperlink>
    </w:p>
    <w:bookmarkEnd w:id="170"/>
    <w:bookmarkStart w:id="172" w:name="ref-Sandamal2023pavement"/>
    <w:p>
      <w:pPr>
        <w:pStyle w:val="Bibliography"/>
      </w:pPr>
      <w:r>
        <w:t xml:space="preserve">Sandamal, K., Shashiprabha, S., Muttil, N., others</w:t>
      </w:r>
      <w:r>
        <w:t xml:space="preserve">, 2023. Pavement roughness prediction using explainable and supervised machine learning technique for long-term performance. Sustainability.</w:t>
      </w:r>
      <w:r>
        <w:t xml:space="preserve"> </w:t>
      </w:r>
      <w:hyperlink r:id="rId171">
        <w:r>
          <w:rPr>
            <w:rStyle w:val="Hyperlink"/>
          </w:rPr>
          <w:t xml:space="preserve">https://doi.org/10.3390/su15129617</w:t>
        </w:r>
      </w:hyperlink>
    </w:p>
    <w:bookmarkEnd w:id="172"/>
    <w:bookmarkStart w:id="174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73">
        <w:r>
          <w:rPr>
            <w:rStyle w:val="Hyperlink"/>
          </w:rPr>
          <w:t xml:space="preserve">https://doi.org/10.3390/s23073772</w:t>
        </w:r>
      </w:hyperlink>
    </w:p>
    <w:bookmarkEnd w:id="174"/>
    <w:bookmarkStart w:id="176" w:name="ref-Taheri2025pavement"/>
    <w:p>
      <w:pPr>
        <w:pStyle w:val="Bibliography"/>
      </w:pPr>
      <w:r>
        <w:t xml:space="preserve">Taheri, A., Sobanjo, J., Elwardany, M., 2025. Pavement cracking prediction models based on deep learning physics-informed neural network. Transportation Research Record.</w:t>
      </w:r>
      <w:r>
        <w:t xml:space="preserve"> </w:t>
      </w:r>
      <w:hyperlink r:id="rId175">
        <w:r>
          <w:rPr>
            <w:rStyle w:val="Hyperlink"/>
          </w:rPr>
          <w:t xml:space="preserve">https://doi.org/10.1177/03611981251372087</w:t>
        </w:r>
      </w:hyperlink>
    </w:p>
    <w:bookmarkEnd w:id="176"/>
    <w:bookmarkStart w:id="178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77">
        <w:r>
          <w:rPr>
            <w:rStyle w:val="Hyperlink"/>
          </w:rPr>
          <w:t xml:space="preserve">https://doi.org/10.1016/j.conbuildmat.2023.133523</w:t>
        </w:r>
      </w:hyperlink>
    </w:p>
    <w:bookmarkEnd w:id="178"/>
    <w:bookmarkStart w:id="180" w:name="ref-Wang2024physics"/>
    <w:p>
      <w:pPr>
        <w:pStyle w:val="Bibliography"/>
      </w:pPr>
      <w:r>
        <w:t xml:space="preserve">Wang, G., Shan, Y., Detmann, B., Lin, W., 2024. Physics-informed neural network (PINN) model for predicting subgrade settlement induced by shield tunnelling beneath an existing railway subgrade. Transportation Geotechnics.</w:t>
      </w:r>
      <w:r>
        <w:t xml:space="preserve"> </w:t>
      </w:r>
      <w:hyperlink r:id="rId179">
        <w:r>
          <w:rPr>
            <w:rStyle w:val="Hyperlink"/>
          </w:rPr>
          <w:t xml:space="preserve">https://doi.org/10.1016/j.trgeo.2024.101409</w:t>
        </w:r>
      </w:hyperlink>
    </w:p>
    <w:bookmarkEnd w:id="180"/>
    <w:bookmarkStart w:id="182" w:name="ref-Wang2025intelligent"/>
    <w:p>
      <w:pPr>
        <w:pStyle w:val="Bibliography"/>
      </w:pPr>
      <w:r>
        <w:t xml:space="preserve">Wang, Y., Zhao, Y., Sun, Q., Wang, R., 2025. Intelligent back-calculation of elastic modulus for asphalt pavement structures with bedrock using a stacking ensemble learning model. Construction and Building Materials.</w:t>
      </w:r>
      <w:r>
        <w:t xml:space="preserve"> </w:t>
      </w:r>
      <w:hyperlink r:id="rId181">
        <w:r>
          <w:rPr>
            <w:rStyle w:val="Hyperlink"/>
          </w:rPr>
          <w:t xml:space="preserve">https://doi.org/10.1016/j.conbuildmat.2025.142704</w:t>
        </w:r>
      </w:hyperlink>
    </w:p>
    <w:bookmarkEnd w:id="182"/>
    <w:bookmarkStart w:id="184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83">
        <w:r>
          <w:rPr>
            <w:rStyle w:val="Hyperlink"/>
          </w:rPr>
          <w:t xml:space="preserve">https://doi.org/10.3390/app132312862</w:t>
        </w:r>
      </w:hyperlink>
    </w:p>
    <w:bookmarkEnd w:id="184"/>
    <w:bookmarkStart w:id="186" w:name="ref-Xing2026physics"/>
    <w:p>
      <w:pPr>
        <w:pStyle w:val="Bibliography"/>
      </w:pPr>
      <w:r>
        <w:t xml:space="preserve">Xing, X., Ling, J., Liu, S., Tao, Z., 2026. Physics-informed neural network for thermal property inversion of airport pavement multilayer materials under icing conditions. Construction and Building Materials.</w:t>
      </w:r>
      <w:r>
        <w:t xml:space="preserve"> </w:t>
      </w:r>
      <w:hyperlink r:id="rId185">
        <w:r>
          <w:rPr>
            <w:rStyle w:val="Hyperlink"/>
          </w:rPr>
          <w:t xml:space="preserve">https://doi.org/10.1016/j.conbuildmat.2026.146164</w:t>
        </w:r>
      </w:hyperlink>
    </w:p>
    <w:bookmarkEnd w:id="186"/>
    <w:bookmarkStart w:id="188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87">
        <w:r>
          <w:rPr>
            <w:rStyle w:val="Hyperlink"/>
          </w:rPr>
          <w:t xml:space="preserve">https://doi.org/10.1016/j.jtte.2021.03.005</w:t>
        </w:r>
      </w:hyperlink>
    </w:p>
    <w:bookmarkEnd w:id="188"/>
    <w:bookmarkStart w:id="190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189">
        <w:r>
          <w:rPr>
            <w:rStyle w:val="Hyperlink"/>
          </w:rPr>
          <w:t xml:space="preserve">https://doi.org/10.1109/tits.2022.3161689</w:t>
        </w:r>
      </w:hyperlink>
    </w:p>
    <w:bookmarkEnd w:id="190"/>
    <w:bookmarkStart w:id="192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191">
        <w:r>
          <w:rPr>
            <w:rStyle w:val="Hyperlink"/>
          </w:rPr>
          <w:t xml:space="preserve">https://doi.org/10.1155/2020/8824135</w:t>
        </w:r>
      </w:hyperlink>
    </w:p>
    <w:bookmarkEnd w:id="192"/>
    <w:bookmarkStart w:id="194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193">
        <w:r>
          <w:rPr>
            <w:rStyle w:val="Hyperlink"/>
          </w:rPr>
          <w:t xml:space="preserve">https://doi.org/10.28991/cej-2025-011-01-06</w:t>
        </w:r>
      </w:hyperlink>
    </w:p>
    <w:bookmarkEnd w:id="194"/>
    <w:bookmarkStart w:id="196" w:name="ref-Zhang2025integrated"/>
    <w:p>
      <w:pPr>
        <w:pStyle w:val="Bibliography"/>
      </w:pPr>
      <w:r>
        <w:t xml:space="preserve">Zhang, C., Shen, S., Huang, H., Yu, S., 2025. An integrated data processing strategy for pavement modulus prediction using empirical mode decomposition techniques. Mechanical Systems and Signal Processing.</w:t>
      </w:r>
      <w:r>
        <w:t xml:space="preserve"> </w:t>
      </w:r>
      <w:hyperlink r:id="rId195">
        <w:r>
          <w:rPr>
            <w:rStyle w:val="Hyperlink"/>
          </w:rPr>
          <w:t xml:space="preserve">https://doi.org/10.1016/j.ymssp.2025.112468</w:t>
        </w:r>
      </w:hyperlink>
    </w:p>
    <w:bookmarkEnd w:id="196"/>
    <w:bookmarkStart w:id="198" w:name="ref-Zhang2026dual"/>
    <w:p>
      <w:pPr>
        <w:pStyle w:val="Bibliography"/>
      </w:pPr>
      <w:r>
        <w:t xml:space="preserve">Zhang, J., Sun, S., Song, W., Li, Y., Teng, Q., 2026. A dual-path CNN and transformer network for continuous pavement crack detection. Sensors.</w:t>
      </w:r>
      <w:r>
        <w:t xml:space="preserve"> </w:t>
      </w:r>
      <w:hyperlink r:id="rId197">
        <w:r>
          <w:rPr>
            <w:rStyle w:val="Hyperlink"/>
          </w:rPr>
          <w:t xml:space="preserve">https://doi.org/10.3390/s26113286</w:t>
        </w:r>
      </w:hyperlink>
    </w:p>
    <w:bookmarkEnd w:id="198"/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hyperlink" Id="rId71" Target="https://doi.org/10.1007/s41024-024-00499-z" TargetMode="External" /><Relationship Type="http://schemas.openxmlformats.org/officeDocument/2006/relationships/hyperlink" Id="rId65" Target="https://doi.org/10.1007/s41024-025-00667-9" TargetMode="External" /><Relationship Type="http://schemas.openxmlformats.org/officeDocument/2006/relationships/hyperlink" Id="rId101" Target="https://doi.org/10.1007/s41062-020-00312-z" TargetMode="External" /><Relationship Type="http://schemas.openxmlformats.org/officeDocument/2006/relationships/hyperlink" Id="rId75" Target="https://doi.org/10.1007/s41062-025-02249-7" TargetMode="External" /><Relationship Type="http://schemas.openxmlformats.org/officeDocument/2006/relationships/hyperlink" Id="rId117" Target="https://doi.org/10.1007/s42947-026-00866-8" TargetMode="External" /><Relationship Type="http://schemas.openxmlformats.org/officeDocument/2006/relationships/hyperlink" Id="rId63" Target="https://doi.org/10.1007/s43995-025-00214-0" TargetMode="External" /><Relationship Type="http://schemas.openxmlformats.org/officeDocument/2006/relationships/hyperlink" Id="rId153" Target="https://doi.org/10.1007/s43995-026-00294-6" TargetMode="External" /><Relationship Type="http://schemas.openxmlformats.org/officeDocument/2006/relationships/hyperlink" Id="rId67" Target="https://doi.org/10.1007/s44290-025-00381-y" TargetMode="External" /><Relationship Type="http://schemas.openxmlformats.org/officeDocument/2006/relationships/hyperlink" Id="rId145" Target="https://doi.org/10.1016/j.autcon.2025.105983" TargetMode="External" /><Relationship Type="http://schemas.openxmlformats.org/officeDocument/2006/relationships/hyperlink" Id="rId147" Target="https://doi.org/10.1016/j.cacaie.2026.100171" TargetMode="External" /><Relationship Type="http://schemas.openxmlformats.org/officeDocument/2006/relationships/hyperlink" Id="rId113" Target="https://doi.org/10.1016/j.conbuildmat.2023.131852" TargetMode="External" /><Relationship Type="http://schemas.openxmlformats.org/officeDocument/2006/relationships/hyperlink" Id="rId177" Target="https://doi.org/10.1016/j.conbuildmat.2023.133523" TargetMode="External" /><Relationship Type="http://schemas.openxmlformats.org/officeDocument/2006/relationships/hyperlink" Id="rId119" Target="https://doi.org/10.1016/j.conbuildmat.2024.135070" TargetMode="External" /><Relationship Type="http://schemas.openxmlformats.org/officeDocument/2006/relationships/hyperlink" Id="rId111" Target="https://doi.org/10.1016/j.conbuildmat.2025.140001" TargetMode="External" /><Relationship Type="http://schemas.openxmlformats.org/officeDocument/2006/relationships/hyperlink" Id="rId169" Target="https://doi.org/10.1016/j.conbuildmat.2025.142179" TargetMode="External" /><Relationship Type="http://schemas.openxmlformats.org/officeDocument/2006/relationships/hyperlink" Id="rId181" Target="https://doi.org/10.1016/j.conbuildmat.2025.142704" TargetMode="External" /><Relationship Type="http://schemas.openxmlformats.org/officeDocument/2006/relationships/hyperlink" Id="rId103" Target="https://doi.org/10.1016/j.conbuildmat.2025.143050" TargetMode="External" /><Relationship Type="http://schemas.openxmlformats.org/officeDocument/2006/relationships/hyperlink" Id="rId185" Target="https://doi.org/10.1016/j.conbuildmat.2026.146164" TargetMode="External" /><Relationship Type="http://schemas.openxmlformats.org/officeDocument/2006/relationships/hyperlink" Id="rId121" Target="https://doi.org/10.1016/j.cscm.2022.e00991" TargetMode="External" /><Relationship Type="http://schemas.openxmlformats.org/officeDocument/2006/relationships/hyperlink" Id="rId125" Target="https://doi.org/10.1016/j.eng.2020.07.030" TargetMode="External" /><Relationship Type="http://schemas.openxmlformats.org/officeDocument/2006/relationships/hyperlink" Id="rId157" Target="https://doi.org/10.1016/j.eswa.2010.12.060" TargetMode="External" /><Relationship Type="http://schemas.openxmlformats.org/officeDocument/2006/relationships/hyperlink" Id="rId159" Target="https://doi.org/10.1016/j.eswa.2011.01.089" TargetMode="External" /><Relationship Type="http://schemas.openxmlformats.org/officeDocument/2006/relationships/hyperlink" Id="rId155" Target="https://doi.org/10.1016/j.jtte.2016.09.007" TargetMode="External" /><Relationship Type="http://schemas.openxmlformats.org/officeDocument/2006/relationships/hyperlink" Id="rId187" Target="https://doi.org/10.1016/j.jtte.2021.03.005" TargetMode="External" /><Relationship Type="http://schemas.openxmlformats.org/officeDocument/2006/relationships/hyperlink" Id="rId151" Target="https://doi.org/10.1016/j.neunet.2026.108803" TargetMode="External" /><Relationship Type="http://schemas.openxmlformats.org/officeDocument/2006/relationships/hyperlink" Id="rId107" Target="https://doi.org/10.1016/j.sandf.2020.02.010" TargetMode="External" /><Relationship Type="http://schemas.openxmlformats.org/officeDocument/2006/relationships/hyperlink" Id="rId179" Target="https://doi.org/10.1016/j.trgeo.2024.101409" TargetMode="External" /><Relationship Type="http://schemas.openxmlformats.org/officeDocument/2006/relationships/hyperlink" Id="rId195" Target="https://doi.org/10.1016/j.ymssp.2025.112468" TargetMode="External" /><Relationship Type="http://schemas.openxmlformats.org/officeDocument/2006/relationships/hyperlink" Id="rId83" Target="https://doi.org/10.1038/s41598-022-17429-z" TargetMode="External" /><Relationship Type="http://schemas.openxmlformats.org/officeDocument/2006/relationships/hyperlink" Id="rId105" Target="https://doi.org/10.1038/s41598-024-61313-x" TargetMode="External" /><Relationship Type="http://schemas.openxmlformats.org/officeDocument/2006/relationships/hyperlink" Id="rId131" Target="https://doi.org/10.1038/s41598-024-65547-7" TargetMode="External" /><Relationship Type="http://schemas.openxmlformats.org/officeDocument/2006/relationships/hyperlink" Id="rId91" Target="https://doi.org/10.1038/s41598-024-81311-3" TargetMode="External" /><Relationship Type="http://schemas.openxmlformats.org/officeDocument/2006/relationships/hyperlink" Id="rId135" Target="https://doi.org/10.1080/10298436.2020.1776281" TargetMode="External" /><Relationship Type="http://schemas.openxmlformats.org/officeDocument/2006/relationships/hyperlink" Id="rId139" Target="https://doi.org/10.1080/14680629.2024.2315073" TargetMode="External" /><Relationship Type="http://schemas.openxmlformats.org/officeDocument/2006/relationships/hyperlink" Id="rId85" Target="https://doi.org/10.1109/access.2020.2966881" TargetMode="External" /><Relationship Type="http://schemas.openxmlformats.org/officeDocument/2006/relationships/hyperlink" Id="rId95" Target="https://doi.org/10.1109/access.2020.2991968" TargetMode="External" /><Relationship Type="http://schemas.openxmlformats.org/officeDocument/2006/relationships/hyperlink" Id="rId61" Target="https://doi.org/10.1109/access.2022.3196660" TargetMode="External" /><Relationship Type="http://schemas.openxmlformats.org/officeDocument/2006/relationships/hyperlink" Id="rId189" Target="https://doi.org/10.1109/tits.2022.3161689" TargetMode="External" /><Relationship Type="http://schemas.openxmlformats.org/officeDocument/2006/relationships/hyperlink" Id="rId115" Target="https://doi.org/10.1111/mice.70102" TargetMode="External" /><Relationship Type="http://schemas.openxmlformats.org/officeDocument/2006/relationships/hyperlink" Id="rId163" Target="https://doi.org/10.1111/mice.70169" TargetMode="External" /><Relationship Type="http://schemas.openxmlformats.org/officeDocument/2006/relationships/hyperlink" Id="rId93" Target="https://doi.org/10.1139/cjce-2017-0132" TargetMode="External" /><Relationship Type="http://schemas.openxmlformats.org/officeDocument/2006/relationships/hyperlink" Id="rId81" Target="https://doi.org/10.1155/2008/861701" TargetMode="External" /><Relationship Type="http://schemas.openxmlformats.org/officeDocument/2006/relationships/hyperlink" Id="rId191" Target="https://doi.org/10.1155/2020/8824135" TargetMode="External" /><Relationship Type="http://schemas.openxmlformats.org/officeDocument/2006/relationships/hyperlink" Id="rId129" Target="https://doi.org/10.1155/2023/1827117" TargetMode="External" /><Relationship Type="http://schemas.openxmlformats.org/officeDocument/2006/relationships/hyperlink" Id="rId165" Target="https://doi.org/10.1177/03611981241245991" TargetMode="External" /><Relationship Type="http://schemas.openxmlformats.org/officeDocument/2006/relationships/hyperlink" Id="rId89" Target="https://doi.org/10.1177/03611981251329046" TargetMode="External" /><Relationship Type="http://schemas.openxmlformats.org/officeDocument/2006/relationships/hyperlink" Id="rId175" Target="https://doi.org/10.1177/03611981251372087" TargetMode="External" /><Relationship Type="http://schemas.openxmlformats.org/officeDocument/2006/relationships/hyperlink" Id="rId87" Target="https://doi.org/10.1186/s43065-023-00082-9" TargetMode="External" /><Relationship Type="http://schemas.openxmlformats.org/officeDocument/2006/relationships/hyperlink" Id="rId69" Target="https://doi.org/10.1186/s44147-025-00623-x" TargetMode="External" /><Relationship Type="http://schemas.openxmlformats.org/officeDocument/2006/relationships/hyperlink" Id="rId77" Target="https://doi.org/10.1186/s44147-025-00706-9" TargetMode="External" /><Relationship Type="http://schemas.openxmlformats.org/officeDocument/2006/relationships/hyperlink" Id="rId141" Target="https://doi.org/10.28927/sr.2026.000725" TargetMode="External" /><Relationship Type="http://schemas.openxmlformats.org/officeDocument/2006/relationships/hyperlink" Id="rId193" Target="https://doi.org/10.28991/cej-2025-011-01-06" TargetMode="External" /><Relationship Type="http://schemas.openxmlformats.org/officeDocument/2006/relationships/hyperlink" Id="rId79" Target="https://doi.org/10.32604/cmc.2023.042183" TargetMode="External" /><Relationship Type="http://schemas.openxmlformats.org/officeDocument/2006/relationships/hyperlink" Id="rId167" Target="https://doi.org/10.32604/sdhm.2026.075421" TargetMode="External" /><Relationship Type="http://schemas.openxmlformats.org/officeDocument/2006/relationships/hyperlink" Id="rId149" Target="https://doi.org/10.3390/app13031999" TargetMode="External" /><Relationship Type="http://schemas.openxmlformats.org/officeDocument/2006/relationships/hyperlink" Id="rId183" Target="https://doi.org/10.3390/app132312862" TargetMode="External" /><Relationship Type="http://schemas.openxmlformats.org/officeDocument/2006/relationships/hyperlink" Id="rId161" Target="https://doi.org/10.3390/app9153172" TargetMode="External" /><Relationship Type="http://schemas.openxmlformats.org/officeDocument/2006/relationships/hyperlink" Id="rId137" Target="https://doi.org/10.3390/app9163221" TargetMode="External" /><Relationship Type="http://schemas.openxmlformats.org/officeDocument/2006/relationships/hyperlink" Id="rId133" Target="https://doi.org/10.3390/asi9070133" TargetMode="External" /><Relationship Type="http://schemas.openxmlformats.org/officeDocument/2006/relationships/hyperlink" Id="rId73" Target="https://doi.org/10.3390/constrmater6010006" TargetMode="External" /><Relationship Type="http://schemas.openxmlformats.org/officeDocument/2006/relationships/hyperlink" Id="rId109" Target="https://doi.org/10.3390/data3030028" TargetMode="External" /><Relationship Type="http://schemas.openxmlformats.org/officeDocument/2006/relationships/hyperlink" Id="rId97" Target="https://doi.org/10.3390/infrastructures11040127" TargetMode="External" /><Relationship Type="http://schemas.openxmlformats.org/officeDocument/2006/relationships/hyperlink" Id="rId123" Target="https://doi.org/10.3390/infrastructures6020028" TargetMode="External" /><Relationship Type="http://schemas.openxmlformats.org/officeDocument/2006/relationships/hyperlink" Id="rId99" Target="https://doi.org/10.3390/infrastructures8080125" TargetMode="External" /><Relationship Type="http://schemas.openxmlformats.org/officeDocument/2006/relationships/hyperlink" Id="rId127" Target="https://doi.org/10.3390/ma18122913" TargetMode="External" /><Relationship Type="http://schemas.openxmlformats.org/officeDocument/2006/relationships/hyperlink" Id="rId173" Target="https://doi.org/10.3390/s23073772" TargetMode="External" /><Relationship Type="http://schemas.openxmlformats.org/officeDocument/2006/relationships/hyperlink" Id="rId197" Target="https://doi.org/10.3390/s26113286" TargetMode="External" /><Relationship Type="http://schemas.openxmlformats.org/officeDocument/2006/relationships/hyperlink" Id="rId171" Target="https://doi.org/10.3390/su15129617" TargetMode="External" /><Relationship Type="http://schemas.openxmlformats.org/officeDocument/2006/relationships/hyperlink" Id="rId143" Target="https://doi.org/10.48550/arxiv.2112.125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s41024-024-00499-z" TargetMode="External" /><Relationship Type="http://schemas.openxmlformats.org/officeDocument/2006/relationships/hyperlink" Id="rId65" Target="https://doi.org/10.1007/s41024-025-00667-9" TargetMode="External" /><Relationship Type="http://schemas.openxmlformats.org/officeDocument/2006/relationships/hyperlink" Id="rId101" Target="https://doi.org/10.1007/s41062-020-00312-z" TargetMode="External" /><Relationship Type="http://schemas.openxmlformats.org/officeDocument/2006/relationships/hyperlink" Id="rId75" Target="https://doi.org/10.1007/s41062-025-02249-7" TargetMode="External" /><Relationship Type="http://schemas.openxmlformats.org/officeDocument/2006/relationships/hyperlink" Id="rId117" Target="https://doi.org/10.1007/s42947-026-00866-8" TargetMode="External" /><Relationship Type="http://schemas.openxmlformats.org/officeDocument/2006/relationships/hyperlink" Id="rId63" Target="https://doi.org/10.1007/s43995-025-00214-0" TargetMode="External" /><Relationship Type="http://schemas.openxmlformats.org/officeDocument/2006/relationships/hyperlink" Id="rId153" Target="https://doi.org/10.1007/s43995-026-00294-6" TargetMode="External" /><Relationship Type="http://schemas.openxmlformats.org/officeDocument/2006/relationships/hyperlink" Id="rId67" Target="https://doi.org/10.1007/s44290-025-00381-y" TargetMode="External" /><Relationship Type="http://schemas.openxmlformats.org/officeDocument/2006/relationships/hyperlink" Id="rId145" Target="https://doi.org/10.1016/j.autcon.2025.105983" TargetMode="External" /><Relationship Type="http://schemas.openxmlformats.org/officeDocument/2006/relationships/hyperlink" Id="rId147" Target="https://doi.org/10.1016/j.cacaie.2026.100171" TargetMode="External" /><Relationship Type="http://schemas.openxmlformats.org/officeDocument/2006/relationships/hyperlink" Id="rId113" Target="https://doi.org/10.1016/j.conbuildmat.2023.131852" TargetMode="External" /><Relationship Type="http://schemas.openxmlformats.org/officeDocument/2006/relationships/hyperlink" Id="rId177" Target="https://doi.org/10.1016/j.conbuildmat.2023.133523" TargetMode="External" /><Relationship Type="http://schemas.openxmlformats.org/officeDocument/2006/relationships/hyperlink" Id="rId119" Target="https://doi.org/10.1016/j.conbuildmat.2024.135070" TargetMode="External" /><Relationship Type="http://schemas.openxmlformats.org/officeDocument/2006/relationships/hyperlink" Id="rId111" Target="https://doi.org/10.1016/j.conbuildmat.2025.140001" TargetMode="External" /><Relationship Type="http://schemas.openxmlformats.org/officeDocument/2006/relationships/hyperlink" Id="rId169" Target="https://doi.org/10.1016/j.conbuildmat.2025.142179" TargetMode="External" /><Relationship Type="http://schemas.openxmlformats.org/officeDocument/2006/relationships/hyperlink" Id="rId181" Target="https://doi.org/10.1016/j.conbuildmat.2025.142704" TargetMode="External" /><Relationship Type="http://schemas.openxmlformats.org/officeDocument/2006/relationships/hyperlink" Id="rId103" Target="https://doi.org/10.1016/j.conbuildmat.2025.143050" TargetMode="External" /><Relationship Type="http://schemas.openxmlformats.org/officeDocument/2006/relationships/hyperlink" Id="rId185" Target="https://doi.org/10.1016/j.conbuildmat.2026.146164" TargetMode="External" /><Relationship Type="http://schemas.openxmlformats.org/officeDocument/2006/relationships/hyperlink" Id="rId121" Target="https://doi.org/10.1016/j.cscm.2022.e00991" TargetMode="External" /><Relationship Type="http://schemas.openxmlformats.org/officeDocument/2006/relationships/hyperlink" Id="rId125" Target="https://doi.org/10.1016/j.eng.2020.07.030" TargetMode="External" /><Relationship Type="http://schemas.openxmlformats.org/officeDocument/2006/relationships/hyperlink" Id="rId157" Target="https://doi.org/10.1016/j.eswa.2010.12.060" TargetMode="External" /><Relationship Type="http://schemas.openxmlformats.org/officeDocument/2006/relationships/hyperlink" Id="rId159" Target="https://doi.org/10.1016/j.eswa.2011.01.089" TargetMode="External" /><Relationship Type="http://schemas.openxmlformats.org/officeDocument/2006/relationships/hyperlink" Id="rId155" Target="https://doi.org/10.1016/j.jtte.2016.09.007" TargetMode="External" /><Relationship Type="http://schemas.openxmlformats.org/officeDocument/2006/relationships/hyperlink" Id="rId187" Target="https://doi.org/10.1016/j.jtte.2021.03.005" TargetMode="External" /><Relationship Type="http://schemas.openxmlformats.org/officeDocument/2006/relationships/hyperlink" Id="rId151" Target="https://doi.org/10.1016/j.neunet.2026.108803" TargetMode="External" /><Relationship Type="http://schemas.openxmlformats.org/officeDocument/2006/relationships/hyperlink" Id="rId107" Target="https://doi.org/10.1016/j.sandf.2020.02.010" TargetMode="External" /><Relationship Type="http://schemas.openxmlformats.org/officeDocument/2006/relationships/hyperlink" Id="rId179" Target="https://doi.org/10.1016/j.trgeo.2024.101409" TargetMode="External" /><Relationship Type="http://schemas.openxmlformats.org/officeDocument/2006/relationships/hyperlink" Id="rId195" Target="https://doi.org/10.1016/j.ymssp.2025.112468" TargetMode="External" /><Relationship Type="http://schemas.openxmlformats.org/officeDocument/2006/relationships/hyperlink" Id="rId83" Target="https://doi.org/10.1038/s41598-022-17429-z" TargetMode="External" /><Relationship Type="http://schemas.openxmlformats.org/officeDocument/2006/relationships/hyperlink" Id="rId105" Target="https://doi.org/10.1038/s41598-024-61313-x" TargetMode="External" /><Relationship Type="http://schemas.openxmlformats.org/officeDocument/2006/relationships/hyperlink" Id="rId131" Target="https://doi.org/10.1038/s41598-024-65547-7" TargetMode="External" /><Relationship Type="http://schemas.openxmlformats.org/officeDocument/2006/relationships/hyperlink" Id="rId91" Target="https://doi.org/10.1038/s41598-024-81311-3" TargetMode="External" /><Relationship Type="http://schemas.openxmlformats.org/officeDocument/2006/relationships/hyperlink" Id="rId135" Target="https://doi.org/10.1080/10298436.2020.1776281" TargetMode="External" /><Relationship Type="http://schemas.openxmlformats.org/officeDocument/2006/relationships/hyperlink" Id="rId139" Target="https://doi.org/10.1080/14680629.2024.2315073" TargetMode="External" /><Relationship Type="http://schemas.openxmlformats.org/officeDocument/2006/relationships/hyperlink" Id="rId85" Target="https://doi.org/10.1109/access.2020.2966881" TargetMode="External" /><Relationship Type="http://schemas.openxmlformats.org/officeDocument/2006/relationships/hyperlink" Id="rId95" Target="https://doi.org/10.1109/access.2020.2991968" TargetMode="External" /><Relationship Type="http://schemas.openxmlformats.org/officeDocument/2006/relationships/hyperlink" Id="rId61" Target="https://doi.org/10.1109/access.2022.3196660" TargetMode="External" /><Relationship Type="http://schemas.openxmlformats.org/officeDocument/2006/relationships/hyperlink" Id="rId189" Target="https://doi.org/10.1109/tits.2022.3161689" TargetMode="External" /><Relationship Type="http://schemas.openxmlformats.org/officeDocument/2006/relationships/hyperlink" Id="rId115" Target="https://doi.org/10.1111/mice.70102" TargetMode="External" /><Relationship Type="http://schemas.openxmlformats.org/officeDocument/2006/relationships/hyperlink" Id="rId163" Target="https://doi.org/10.1111/mice.70169" TargetMode="External" /><Relationship Type="http://schemas.openxmlformats.org/officeDocument/2006/relationships/hyperlink" Id="rId93" Target="https://doi.org/10.1139/cjce-2017-0132" TargetMode="External" /><Relationship Type="http://schemas.openxmlformats.org/officeDocument/2006/relationships/hyperlink" Id="rId81" Target="https://doi.org/10.1155/2008/861701" TargetMode="External" /><Relationship Type="http://schemas.openxmlformats.org/officeDocument/2006/relationships/hyperlink" Id="rId191" Target="https://doi.org/10.1155/2020/8824135" TargetMode="External" /><Relationship Type="http://schemas.openxmlformats.org/officeDocument/2006/relationships/hyperlink" Id="rId129" Target="https://doi.org/10.1155/2023/1827117" TargetMode="External" /><Relationship Type="http://schemas.openxmlformats.org/officeDocument/2006/relationships/hyperlink" Id="rId165" Target="https://doi.org/10.1177/03611981241245991" TargetMode="External" /><Relationship Type="http://schemas.openxmlformats.org/officeDocument/2006/relationships/hyperlink" Id="rId89" Target="https://doi.org/10.1177/03611981251329046" TargetMode="External" /><Relationship Type="http://schemas.openxmlformats.org/officeDocument/2006/relationships/hyperlink" Id="rId175" Target="https://doi.org/10.1177/03611981251372087" TargetMode="External" /><Relationship Type="http://schemas.openxmlformats.org/officeDocument/2006/relationships/hyperlink" Id="rId87" Target="https://doi.org/10.1186/s43065-023-00082-9" TargetMode="External" /><Relationship Type="http://schemas.openxmlformats.org/officeDocument/2006/relationships/hyperlink" Id="rId69" Target="https://doi.org/10.1186/s44147-025-00623-x" TargetMode="External" /><Relationship Type="http://schemas.openxmlformats.org/officeDocument/2006/relationships/hyperlink" Id="rId77" Target="https://doi.org/10.1186/s44147-025-00706-9" TargetMode="External" /><Relationship Type="http://schemas.openxmlformats.org/officeDocument/2006/relationships/hyperlink" Id="rId141" Target="https://doi.org/10.28927/sr.2026.000725" TargetMode="External" /><Relationship Type="http://schemas.openxmlformats.org/officeDocument/2006/relationships/hyperlink" Id="rId193" Target="https://doi.org/10.28991/cej-2025-011-01-06" TargetMode="External" /><Relationship Type="http://schemas.openxmlformats.org/officeDocument/2006/relationships/hyperlink" Id="rId79" Target="https://doi.org/10.32604/cmc.2023.042183" TargetMode="External" /><Relationship Type="http://schemas.openxmlformats.org/officeDocument/2006/relationships/hyperlink" Id="rId167" Target="https://doi.org/10.32604/sdhm.2026.075421" TargetMode="External" /><Relationship Type="http://schemas.openxmlformats.org/officeDocument/2006/relationships/hyperlink" Id="rId149" Target="https://doi.org/10.3390/app13031999" TargetMode="External" /><Relationship Type="http://schemas.openxmlformats.org/officeDocument/2006/relationships/hyperlink" Id="rId183" Target="https://doi.org/10.3390/app132312862" TargetMode="External" /><Relationship Type="http://schemas.openxmlformats.org/officeDocument/2006/relationships/hyperlink" Id="rId161" Target="https://doi.org/10.3390/app9153172" TargetMode="External" /><Relationship Type="http://schemas.openxmlformats.org/officeDocument/2006/relationships/hyperlink" Id="rId137" Target="https://doi.org/10.3390/app9163221" TargetMode="External" /><Relationship Type="http://schemas.openxmlformats.org/officeDocument/2006/relationships/hyperlink" Id="rId133" Target="https://doi.org/10.3390/asi9070133" TargetMode="External" /><Relationship Type="http://schemas.openxmlformats.org/officeDocument/2006/relationships/hyperlink" Id="rId73" Target="https://doi.org/10.3390/constrmater6010006" TargetMode="External" /><Relationship Type="http://schemas.openxmlformats.org/officeDocument/2006/relationships/hyperlink" Id="rId109" Target="https://doi.org/10.3390/data3030028" TargetMode="External" /><Relationship Type="http://schemas.openxmlformats.org/officeDocument/2006/relationships/hyperlink" Id="rId97" Target="https://doi.org/10.3390/infrastructures11040127" TargetMode="External" /><Relationship Type="http://schemas.openxmlformats.org/officeDocument/2006/relationships/hyperlink" Id="rId123" Target="https://doi.org/10.3390/infrastructures6020028" TargetMode="External" /><Relationship Type="http://schemas.openxmlformats.org/officeDocument/2006/relationships/hyperlink" Id="rId99" Target="https://doi.org/10.3390/infrastructures8080125" TargetMode="External" /><Relationship Type="http://schemas.openxmlformats.org/officeDocument/2006/relationships/hyperlink" Id="rId127" Target="https://doi.org/10.3390/ma18122913" TargetMode="External" /><Relationship Type="http://schemas.openxmlformats.org/officeDocument/2006/relationships/hyperlink" Id="rId173" Target="https://doi.org/10.3390/s23073772" TargetMode="External" /><Relationship Type="http://schemas.openxmlformats.org/officeDocument/2006/relationships/hyperlink" Id="rId197" Target="https://doi.org/10.3390/s26113286" TargetMode="External" /><Relationship Type="http://schemas.openxmlformats.org/officeDocument/2006/relationships/hyperlink" Id="rId171" Target="https://doi.org/10.3390/su15129617" TargetMode="External" /><Relationship Type="http://schemas.openxmlformats.org/officeDocument/2006/relationships/hyperlink" Id="rId143" Target="https://doi.org/10.48550/arxiv.2112.125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2026-08-09T21:53:35Z</dcterms:created>
  <dcterms:modified xsi:type="dcterms:W3CDTF">2026-08-09T21:53:35Z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 — structured abstract, ~280 words, written last so that every number in it traces to the audit. Do not draft this before Section 9 is final.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2026-08-10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oc-title">
    <vt:lpwstr>Table of contents</vt:lpwstr>
  </property>
</Properties>
</file>