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Two very recent contributions come closer to the diagnosis</w:t>
      </w:r>
      <w:r>
        <w:t xml:space="preserve"> </w:t>
      </w:r>
      <w:r>
        <w:t xml:space="preserve">this review develops: Tamagusko and Ferreira name standardisation, interpretability</w:t>
      </w:r>
      <w:r>
        <w:t xml:space="preserve"> </w:t>
      </w:r>
      <w:r>
        <w:t xml:space="preserve">and replicability as open problems specifically for roughness prediction on flexible</w:t>
      </w:r>
      <w:r>
        <w:t xml:space="preserve"> </w:t>
      </w:r>
      <w:r>
        <w:t xml:space="preserve">pavements, and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 lab-to-field gap across 180 soil-stabilisation</w:t>
      </w:r>
      <w:r>
        <w:t xml:space="preserve"> </w:t>
      </w:r>
      <w:r>
        <w:t xml:space="preserve">studies. Both are right, and both are confined to a sub-domain and stop short of a</w:t>
      </w:r>
      <w:r>
        <w:t xml:space="preserve"> </w:t>
      </w:r>
      <w:r>
        <w:t xml:space="preserve">per-study coding instrument. What has not been done, in any of this literature, is</w:t>
      </w:r>
      <w:r>
        <w:t xml:space="preserve"> </w:t>
      </w:r>
      <w:r>
        <w:t xml:space="preserve">to (i) define hybridity structurally rather than lexically so that the algorithm-</w:t>
      </w:r>
      <w:r>
        <w:t xml:space="preserve"> </w:t>
      </w:r>
      <w:r>
        <w:t xml:space="preserve">vocabulary studies are not missed, (ii) code a consistent rigour rubric across the</w:t>
      </w:r>
      <w:r>
        <w:t xml:space="preserve"> </w:t>
      </w:r>
      <w:r>
        <w:t xml:space="preserve">full range of pavement sub-domains rather than one at a time, and (iii) convert the</w:t>
      </w:r>
      <w:r>
        <w:t xml:space="preserve"> </w:t>
      </w:r>
      <w:r>
        <w:t xml:space="preserve">resulting evidence into a quantified premium and a reusable reporting instrument.</w:t>
      </w:r>
      <w:r>
        <w:t xml:space="preserve"> </w:t>
      </w:r>
      <w:r>
        <w:t xml:space="preserve">That is the gap this review occupies.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74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7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(§10),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14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5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56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22</w:t>
      </w:r>
      <w:r>
        <w:t xml:space="preserve"> </w:t>
      </w:r>
      <w:r>
        <w:t xml:space="preserve">of 56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bookmarkEnd w:id="25"/>
    <w:bookmarkStart w:id="27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27"/>
    <w:bookmarkStart w:id="28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PLACEHOLDER.</w:t>
      </w:r>
    </w:p>
    <w:bookmarkEnd w:id="28"/>
    <w:bookmarkStart w:id="29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PLACEHOLDER — anchored on back-calculation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2017; Ghanizadeh et al., 2025, 2020)</w:t>
      </w:r>
      <w:r>
        <w:t xml:space="preserve">.</w:t>
      </w:r>
    </w:p>
    <w:bookmarkEnd w:id="29"/>
    <w:bookmarkStart w:id="30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PLACEHOLDER.</w:t>
      </w:r>
    </w:p>
    <w:bookmarkEnd w:id="30"/>
    <w:bookmarkStart w:id="31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PLACEHOLDER —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for the physics-informed case;</w:t>
      </w:r>
      <w:r>
        <w:t xml:space="preserve"> </w:t>
      </w:r>
      <w:r>
        <w:t xml:space="preserve">Ghanizadeh et al.</w:t>
      </w:r>
      <w:r>
        <w:t xml:space="preserve"> </w:t>
      </w:r>
      <w:r>
        <w:t xml:space="preserve">(2024)</w:t>
      </w:r>
      <w:r>
        <w:t xml:space="preserve"> </w:t>
      </w:r>
      <w:r>
        <w:t xml:space="preserve">for the symbolic–numeric case.</w:t>
      </w:r>
    </w:p>
    <w:bookmarkEnd w:id="31"/>
    <w:bookmarkStart w:id="36" w:name="sec-premium"/>
    <w:p>
      <w:pPr>
        <w:pStyle w:val="Heading1"/>
      </w:pPr>
      <w:r>
        <w:t xml:space="preserve">9. The hybridisation premium</w:t>
      </w:r>
    </w:p>
    <w:bookmarkStart w:id="32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32"/>
    <w:bookmarkStart w:id="33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(§10) and were fixed before full-text coding</w:t>
      </w:r>
      <w:r>
        <w:t xml:space="preserve"> </w:t>
      </w:r>
      <w:r>
        <w:t xml:space="preserve">began.</w:t>
      </w:r>
    </w:p>
    <w:bookmarkEnd w:id="33"/>
    <w:bookmarkStart w:id="35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Two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five rows, only two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involve a</w:t>
      </w:r>
      <w:r>
        <w:t xml:space="preserve"> </w:t>
      </w:r>
      <w:r>
        <w:t xml:space="preserve">paper that reports enough to attempt a premium 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 includes the one</w:t>
      </w:r>
      <w:r>
        <w:t xml:space="preserve"> </w:t>
      </w:r>
      <w:r>
        <w:t xml:space="preserve">comparator — a conventionally tuned, non-hybrid version of the same LSSVM — that</w:t>
      </w:r>
      <w:r>
        <w:t xml:space="preserve"> </w:t>
      </w:r>
      <w:r>
        <w:t xml:space="preserve">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 audit is built to</w:t>
      </w:r>
      <w:r>
        <w:t xml:space="preserve"> </w:t>
      </w:r>
      <w:r>
        <w:t xml:space="preserve">quantify: the missing baseline, not a negative result, is the dominant finding so</w:t>
      </w:r>
      <w:r>
        <w:t xml:space="preserve"> </w:t>
      </w:r>
      <w:r>
        <w:t xml:space="preserve">far. Second,</w:t>
      </w:r>
      <w:r>
        <w:t xml:space="preserve"> </w:t>
      </w:r>
      <w:r>
        <w:rPr>
          <w:b/>
          <w:bCs/>
        </w:rPr>
        <w:t xml:space="preserve">where tuning parity is closest to being honoured, the hybrid or</w:t>
      </w:r>
      <w:r>
        <w:rPr>
          <w:b/>
          <w:bCs/>
        </w:rPr>
        <w:t xml:space="preserve"> </w:t>
      </w:r>
      <w:r>
        <w:rPr>
          <w:b/>
          <w:bCs/>
        </w:rPr>
        <w:t xml:space="preserve">deep-architecture advantage narrows.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</w:t>
      </w:r>
      <w:r>
        <w:t xml:space="preserve"> </w:t>
      </w:r>
      <w:r>
        <w:t xml:space="preserve">architectures individually, including deep networks, against both each other and</w:t>
      </w:r>
      <w:r>
        <w:t xml:space="preserve"> </w:t>
      </w:r>
      <w:r>
        <w:t xml:space="preserve">two established mechanistic models; the winner is a tuned bagging ensemble. Neither</w:t>
      </w:r>
      <w:r>
        <w:t xml:space="preserve"> </w:t>
      </w:r>
      <w:r>
        <w:t xml:space="preserve">a hybrid nor a deep architecture prevailed once every competitor received its own</w:t>
      </w:r>
      <w:r>
        <w:t xml:space="preserve"> </w:t>
      </w:r>
      <w:r>
        <w:t xml:space="preserve">search budget.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 positive</w:t>
      </w:r>
      <w:r>
        <w:t xml:space="preserve"> </w:t>
      </w:r>
      <w:r>
        <w:t xml:space="preserve">counter-example — a heterogeneous stacking ensemble (H5) that both reports a</w:t>
      </w:r>
      <w:r>
        <w:t xml:space="preserve"> </w:t>
      </w:r>
      <w:r>
        <w:t xml:space="preserve">credible premium over single models and states explicitly that its meta-learner was</w:t>
      </w:r>
      <w:r>
        <w:t xml:space="preserve"> </w:t>
      </w:r>
      <w:r>
        <w:t xml:space="preserve">trained on cross-validated, not in-fold, base-model predictions specifically to</w:t>
      </w:r>
      <w:r>
        <w:t xml:space="preserve"> </w:t>
      </w:r>
      <w:r>
        <w:t xml:space="preserve">avoid the leakage pathway characteristic of that hybridisation type (§4, H5). It is</w:t>
      </w:r>
      <w:r>
        <w:t xml:space="preserve"> </w:t>
      </w:r>
      <w:r>
        <w:t xml:space="preserve">cited in §10 as the positive PAVE-ML exemplar for exactly this reason.</w:t>
      </w:r>
    </w:p>
    <w:p>
      <w:pPr>
        <w:pStyle w:val="BodyText"/>
      </w:pPr>
      <w:r>
        <w:t xml:space="preserve">Neither reading should be generalised past what five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</w:t>
      </w:r>
    </w:p>
    <w:bookmarkEnd w:id="35"/>
    <w:bookmarkEnd w:id="36"/>
    <w:bookmarkStart w:id="37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PLACEHOLDER.</w:t>
      </w:r>
    </w:p>
    <w:bookmarkEnd w:id="37"/>
    <w:bookmarkStart w:id="38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provide the sharpest available answer to that question,</w:t>
      </w:r>
      <w:r>
        <w:t xml:space="preserve"> </w:t>
      </w:r>
      <w:r>
        <w:t xml:space="preserve">though the paper itself is about prediction error rather than hybridisation as</w:t>
      </w:r>
      <w:r>
        <w:t xml:space="preserve"> </w:t>
      </w:r>
      <w:r>
        <w:t xml:space="preserve">such: injecting 10–90% error into a pavement performance prediction and</w:t>
      </w:r>
      <w:r>
        <w:t xml:space="preserve"> </w:t>
      </w:r>
      <w:r>
        <w:t xml:space="preserve">propagating it through a 20-year network-level maintenance and rehabilitation</w:t>
      </w:r>
      <w:r>
        <w:t xml:space="preserve"> </w:t>
      </w:r>
      <w:r>
        <w:t xml:space="preserve">schedule, they price the resulting treatment-cost consequence directly. That result</w:t>
      </w:r>
      <w:r>
        <w:t xml:space="preserve"> </w:t>
      </w:r>
      <w:r>
        <w:t xml:space="preserve">supplies the yardstick a hybridisation premium should be measured against — not</w:t>
      </w:r>
      <w:r>
        <w:t xml:space="preserve"> </w:t>
      </w:r>
      <w:r>
        <w:t xml:space="preserve">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 accuracy level</w:t>
      </w:r>
      <w:r>
        <w:t xml:space="preserve"> </w:t>
      </w:r>
      <w:r>
        <w:t xml:space="preserve">the underlying prediction task already operates at, to change which treatment gets</w:t>
      </w:r>
      <w:r>
        <w:t xml:space="preserve"> </w:t>
      </w:r>
      <w:r>
        <w:t xml:space="preserve">scheduled, or when. A premium of a few hundredths of a unit of R</w:t>
      </w:r>
      <w:r>
        <w:rPr>
          <w:vertAlign w:val="superscript"/>
        </w:rPr>
        <w:t xml:space="preserve">2</w:t>
      </w:r>
      <w:r>
        <w:t xml:space="preserve">, of the kind</w:t>
      </w:r>
      <w:r>
        <w:t xml:space="preserve"> </w:t>
      </w:r>
      <w:r>
        <w:t xml:space="preserve">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 strong</w:t>
      </w:r>
      <w:r>
        <w:t xml:space="preserve"> </w:t>
      </w:r>
      <w:r>
        <w:t xml:space="preserve">candidate for being decision-irrelevant by this standard; the completed audit will</w:t>
      </w:r>
      <w:r>
        <w:t xml:space="preserve"> </w:t>
      </w:r>
      <w:r>
        <w:t xml:space="preserve">report, for every study where both a premium and enough contextual detail are</w:t>
      </w:r>
      <w:r>
        <w:t xml:space="preserve"> </w:t>
      </w:r>
      <w:r>
        <w:t xml:space="preserve">available, whether the premium plausibly clears this bar or not. This section will</w:t>
      </w:r>
      <w:r>
        <w:t xml:space="preserve"> </w:t>
      </w:r>
      <w:r>
        <w:t xml:space="preserve">be completed once that judgement can be made study by study rather than asserted</w:t>
      </w:r>
      <w:r>
        <w:t xml:space="preserve"> </w:t>
      </w:r>
      <w:r>
        <w:t xml:space="preserve">in general.</w:t>
      </w:r>
    </w:p>
    <w:bookmarkEnd w:id="38"/>
    <w:bookmarkStart w:id="39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</w:p>
    <w:p>
      <w:pPr>
        <w:pStyle w:val="BodyText"/>
      </w:pPr>
      <w:r>
        <w:t xml:space="preserve">The full instrument — twenty items across five domains (data provenance,</w:t>
      </w:r>
      <w:r>
        <w:t xml:space="preserve"> </w:t>
      </w:r>
      <w:r>
        <w:t xml:space="preserve">preprocessing and partitioning, modelling and comparison, evaluation and</w:t>
      </w:r>
      <w:r>
        <w:t xml:space="preserve"> </w:t>
      </w:r>
      <w:r>
        <w:t xml:space="preserve">interpretation, and generalisation and transparency), plus four items specific to</w:t>
      </w:r>
      <w:r>
        <w:t xml:space="preserve"> </w:t>
      </w:r>
      <w:r>
        <w:t xml:space="preserve">hybrid pipelines — is reproduced in full in the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docs/03_PAVE-ML_instrument.md</w:t>
      </w:r>
      <w:r>
        <w:t xml:space="preserve">), together with the operational decision rules and</w:t>
      </w:r>
      <w:r>
        <w:t xml:space="preserve"> </w:t>
      </w:r>
      <w:r>
        <w:t xml:space="preserve">worked examples that make the coding reproducible rather than a matter of reader</w:t>
      </w:r>
      <w:r>
        <w:t xml:space="preserve"> </w:t>
      </w:r>
      <w:r>
        <w:t xml:space="preserve">judgement. 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at the time of writing, the clearest example in the seed</w:t>
      </w:r>
      <w:r>
        <w:t xml:space="preserve"> </w:t>
      </w:r>
      <w:r>
        <w:t xml:space="preserve">corpus of a study satisfying the spirit of items in this list without having been</w:t>
      </w:r>
      <w:r>
        <w:t xml:space="preserve"> </w:t>
      </w:r>
      <w:r>
        <w:t xml:space="preserve">written against it — its stacking meta-learner is trained on cross-validated,</w:t>
      </w:r>
      <w:r>
        <w:t xml:space="preserve"> </w:t>
      </w:r>
      <w:r>
        <w:t xml:space="preserve">not in-fold, predictions specifically to avoid leakage, which is exactly the</w:t>
      </w:r>
      <w:r>
        <w:t xml:space="preserve"> </w:t>
      </w:r>
      <w:r>
        <w:t xml:space="preserve">practice item 7 of the general instrument (grouped/blocked partitioning respected</w:t>
      </w:r>
      <w:r>
        <w:t xml:space="preserve"> </w:t>
      </w:r>
      <w:r>
        <w:t xml:space="preserve">by all fitted preprocessing) is written to detect the absence of.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39"/>
    <w:bookmarkStart w:id="40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PLACEHOLDER.</w:t>
      </w:r>
    </w:p>
    <w:bookmarkEnd w:id="40"/>
    <w:bookmarkStart w:id="41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PLACEHOLDER.</w:t>
      </w:r>
    </w:p>
    <w:bookmarkEnd w:id="41"/>
    <w:bookmarkStart w:id="42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42"/>
    <w:bookmarkStart w:id="43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43"/>
    <w:bookmarkStart w:id="44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44"/>
    <w:bookmarkStart w:id="86" w:name="references"/>
    <w:p>
      <w:pPr>
        <w:pStyle w:val="Heading1"/>
      </w:pPr>
      <w:r>
        <w:t xml:space="preserve">References</w:t>
      </w:r>
    </w:p>
    <w:bookmarkStart w:id="85" w:name="refs"/>
    <w:bookmarkStart w:id="46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45">
        <w:r>
          <w:rPr>
            <w:rStyle w:val="Hyperlink"/>
          </w:rPr>
          <w:t xml:space="preserve">https://doi.org/10.1109/access.2022.3196660</w:t>
        </w:r>
      </w:hyperlink>
    </w:p>
    <w:bookmarkEnd w:id="46"/>
    <w:bookmarkStart w:id="48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47">
        <w:r>
          <w:rPr>
            <w:rStyle w:val="Hyperlink"/>
          </w:rPr>
          <w:t xml:space="preserve">https://doi.org/10.1038/s41598-022-17429-z</w:t>
        </w:r>
      </w:hyperlink>
    </w:p>
    <w:bookmarkEnd w:id="48"/>
    <w:bookmarkStart w:id="50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49">
        <w:r>
          <w:rPr>
            <w:rStyle w:val="Hyperlink"/>
          </w:rPr>
          <w:t xml:space="preserve">https://doi.org/10.1109/access.2020.2966881</w:t>
        </w:r>
      </w:hyperlink>
    </w:p>
    <w:bookmarkEnd w:id="50"/>
    <w:bookmarkStart w:id="52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51">
        <w:r>
          <w:rPr>
            <w:rStyle w:val="Hyperlink"/>
          </w:rPr>
          <w:t xml:space="preserve">https://doi.org/10.1139/cjce-2017-0132</w:t>
        </w:r>
      </w:hyperlink>
    </w:p>
    <w:bookmarkEnd w:id="52"/>
    <w:bookmarkStart w:id="54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53">
        <w:r>
          <w:rPr>
            <w:rStyle w:val="Hyperlink"/>
          </w:rPr>
          <w:t xml:space="preserve">https://doi.org/10.1007/s41062-020-00312-z</w:t>
        </w:r>
      </w:hyperlink>
    </w:p>
    <w:bookmarkEnd w:id="54"/>
    <w:bookmarkStart w:id="56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55">
        <w:r>
          <w:rPr>
            <w:rStyle w:val="Hyperlink"/>
          </w:rPr>
          <w:t xml:space="preserve">https://doi.org/10.1016/j.conbuildmat.2025.143050</w:t>
        </w:r>
      </w:hyperlink>
    </w:p>
    <w:bookmarkEnd w:id="56"/>
    <w:bookmarkStart w:id="58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57">
        <w:r>
          <w:rPr>
            <w:rStyle w:val="Hyperlink"/>
          </w:rPr>
          <w:t xml:space="preserve">https://doi.org/10.1038/s41598-024-61313-x</w:t>
        </w:r>
      </w:hyperlink>
    </w:p>
    <w:bookmarkEnd w:id="58"/>
    <w:bookmarkStart w:id="60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59">
        <w:r>
          <w:rPr>
            <w:rStyle w:val="Hyperlink"/>
          </w:rPr>
          <w:t xml:space="preserve">https://doi.org/10.1016/j.sandf.2020.02.010</w:t>
        </w:r>
      </w:hyperlink>
    </w:p>
    <w:bookmarkEnd w:id="60"/>
    <w:bookmarkStart w:id="62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61">
        <w:r>
          <w:rPr>
            <w:rStyle w:val="Hyperlink"/>
          </w:rPr>
          <w:t xml:space="preserve">https://doi.org/10.3390/data3030028</w:t>
        </w:r>
      </w:hyperlink>
    </w:p>
    <w:bookmarkEnd w:id="62"/>
    <w:bookmarkStart w:id="64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63">
        <w:r>
          <w:rPr>
            <w:rStyle w:val="Hyperlink"/>
          </w:rPr>
          <w:t xml:space="preserve">https://doi.org/10.1111/mice.70102</w:t>
        </w:r>
      </w:hyperlink>
    </w:p>
    <w:bookmarkEnd w:id="64"/>
    <w:bookmarkStart w:id="66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65">
        <w:r>
          <w:rPr>
            <w:rStyle w:val="Hyperlink"/>
          </w:rPr>
          <w:t xml:space="preserve">https://doi.org/10.1016/j.cscm.2022.e00991</w:t>
        </w:r>
      </w:hyperlink>
    </w:p>
    <w:bookmarkEnd w:id="66"/>
    <w:bookmarkStart w:id="68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67">
        <w:r>
          <w:rPr>
            <w:rStyle w:val="Hyperlink"/>
          </w:rPr>
          <w:t xml:space="preserve">https://doi.org/10.3390/infrastructures6020028</w:t>
        </w:r>
      </w:hyperlink>
    </w:p>
    <w:bookmarkEnd w:id="68"/>
    <w:bookmarkStart w:id="70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69">
        <w:r>
          <w:rPr>
            <w:rStyle w:val="Hyperlink"/>
          </w:rPr>
          <w:t xml:space="preserve">https://doi.org/10.1016/j.eng.2020.07.030</w:t>
        </w:r>
      </w:hyperlink>
    </w:p>
    <w:bookmarkEnd w:id="70"/>
    <w:bookmarkStart w:id="72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71">
        <w:r>
          <w:rPr>
            <w:rStyle w:val="Hyperlink"/>
          </w:rPr>
          <w:t xml:space="preserve">https://doi.org/10.3390/ma18122913</w:t>
        </w:r>
      </w:hyperlink>
    </w:p>
    <w:bookmarkEnd w:id="72"/>
    <w:bookmarkStart w:id="74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73">
        <w:r>
          <w:rPr>
            <w:rStyle w:val="Hyperlink"/>
          </w:rPr>
          <w:t xml:space="preserve">https://doi.org/10.48550/arxiv.2112.12589</w:t>
        </w:r>
      </w:hyperlink>
    </w:p>
    <w:bookmarkEnd w:id="74"/>
    <w:bookmarkStart w:id="76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75">
        <w:r>
          <w:rPr>
            <w:rStyle w:val="Hyperlink"/>
          </w:rPr>
          <w:t xml:space="preserve">https://doi.org/10.1007/s43995-026-00294-6</w:t>
        </w:r>
      </w:hyperlink>
    </w:p>
    <w:bookmarkEnd w:id="76"/>
    <w:bookmarkStart w:id="78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77">
        <w:r>
          <w:rPr>
            <w:rStyle w:val="Hyperlink"/>
          </w:rPr>
          <w:t xml:space="preserve">https://doi.org/10.1177/03611981241245991</w:t>
        </w:r>
      </w:hyperlink>
    </w:p>
    <w:bookmarkEnd w:id="78"/>
    <w:bookmarkStart w:id="80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79">
        <w:r>
          <w:rPr>
            <w:rStyle w:val="Hyperlink"/>
          </w:rPr>
          <w:t xml:space="preserve">https://doi.org/10.1016/j.jtte.2021.03.005</w:t>
        </w:r>
      </w:hyperlink>
    </w:p>
    <w:bookmarkEnd w:id="80"/>
    <w:bookmarkStart w:id="82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81">
        <w:r>
          <w:rPr>
            <w:rStyle w:val="Hyperlink"/>
          </w:rPr>
          <w:t xml:space="preserve">https://doi.org/10.1109/tits.2022.3161689</w:t>
        </w:r>
      </w:hyperlink>
    </w:p>
    <w:bookmarkEnd w:id="82"/>
    <w:bookmarkStart w:id="84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83">
        <w:r>
          <w:rPr>
            <w:rStyle w:val="Hyperlink"/>
          </w:rPr>
          <w:t xml:space="preserve">https://doi.org/10.28991/cej-2025-011-01-06</w:t>
        </w:r>
      </w:hyperlink>
    </w:p>
    <w:bookmarkEnd w:id="84"/>
    <w:bookmarkEnd w:id="85"/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53" Target="https://doi.org/10.1007/s41062-020-00312-z" TargetMode="External" /><Relationship Type="http://schemas.openxmlformats.org/officeDocument/2006/relationships/hyperlink" Id="rId75" Target="https://doi.org/10.1007/s43995-026-00294-6" TargetMode="External" /><Relationship Type="http://schemas.openxmlformats.org/officeDocument/2006/relationships/hyperlink" Id="rId55" Target="https://doi.org/10.1016/j.conbuildmat.2025.143050" TargetMode="External" /><Relationship Type="http://schemas.openxmlformats.org/officeDocument/2006/relationships/hyperlink" Id="rId65" Target="https://doi.org/10.1016/j.cscm.2022.e00991" TargetMode="External" /><Relationship Type="http://schemas.openxmlformats.org/officeDocument/2006/relationships/hyperlink" Id="rId69" Target="https://doi.org/10.1016/j.eng.2020.07.030" TargetMode="External" /><Relationship Type="http://schemas.openxmlformats.org/officeDocument/2006/relationships/hyperlink" Id="rId79" Target="https://doi.org/10.1016/j.jtte.2021.03.005" TargetMode="External" /><Relationship Type="http://schemas.openxmlformats.org/officeDocument/2006/relationships/hyperlink" Id="rId59" Target="https://doi.org/10.1016/j.sandf.2020.02.010" TargetMode="External" /><Relationship Type="http://schemas.openxmlformats.org/officeDocument/2006/relationships/hyperlink" Id="rId47" Target="https://doi.org/10.1038/s41598-022-17429-z" TargetMode="External" /><Relationship Type="http://schemas.openxmlformats.org/officeDocument/2006/relationships/hyperlink" Id="rId57" Target="https://doi.org/10.1038/s41598-024-61313-x" TargetMode="External" /><Relationship Type="http://schemas.openxmlformats.org/officeDocument/2006/relationships/hyperlink" Id="rId49" Target="https://doi.org/10.1109/access.2020.2966881" TargetMode="External" /><Relationship Type="http://schemas.openxmlformats.org/officeDocument/2006/relationships/hyperlink" Id="rId45" Target="https://doi.org/10.1109/access.2022.3196660" TargetMode="External" /><Relationship Type="http://schemas.openxmlformats.org/officeDocument/2006/relationships/hyperlink" Id="rId81" Target="https://doi.org/10.1109/tits.2022.3161689" TargetMode="External" /><Relationship Type="http://schemas.openxmlformats.org/officeDocument/2006/relationships/hyperlink" Id="rId63" Target="https://doi.org/10.1111/mice.70102" TargetMode="External" /><Relationship Type="http://schemas.openxmlformats.org/officeDocument/2006/relationships/hyperlink" Id="rId51" Target="https://doi.org/10.1139/cjce-2017-0132" TargetMode="External" /><Relationship Type="http://schemas.openxmlformats.org/officeDocument/2006/relationships/hyperlink" Id="rId77" Target="https://doi.org/10.1177/03611981241245991" TargetMode="External" /><Relationship Type="http://schemas.openxmlformats.org/officeDocument/2006/relationships/hyperlink" Id="rId83" Target="https://doi.org/10.28991/cej-2025-011-01-06" TargetMode="External" /><Relationship Type="http://schemas.openxmlformats.org/officeDocument/2006/relationships/hyperlink" Id="rId61" Target="https://doi.org/10.3390/data3030028" TargetMode="External" /><Relationship Type="http://schemas.openxmlformats.org/officeDocument/2006/relationships/hyperlink" Id="rId67" Target="https://doi.org/10.3390/infrastructures6020028" TargetMode="External" /><Relationship Type="http://schemas.openxmlformats.org/officeDocument/2006/relationships/hyperlink" Id="rId71" Target="https://doi.org/10.3390/ma18122913" TargetMode="External" /><Relationship Type="http://schemas.openxmlformats.org/officeDocument/2006/relationships/hyperlink" Id="rId73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doi.org/10.1007/s41062-020-00312-z" TargetMode="External" /><Relationship Type="http://schemas.openxmlformats.org/officeDocument/2006/relationships/hyperlink" Id="rId75" Target="https://doi.org/10.1007/s43995-026-00294-6" TargetMode="External" /><Relationship Type="http://schemas.openxmlformats.org/officeDocument/2006/relationships/hyperlink" Id="rId55" Target="https://doi.org/10.1016/j.conbuildmat.2025.143050" TargetMode="External" /><Relationship Type="http://schemas.openxmlformats.org/officeDocument/2006/relationships/hyperlink" Id="rId65" Target="https://doi.org/10.1016/j.cscm.2022.e00991" TargetMode="External" /><Relationship Type="http://schemas.openxmlformats.org/officeDocument/2006/relationships/hyperlink" Id="rId69" Target="https://doi.org/10.1016/j.eng.2020.07.030" TargetMode="External" /><Relationship Type="http://schemas.openxmlformats.org/officeDocument/2006/relationships/hyperlink" Id="rId79" Target="https://doi.org/10.1016/j.jtte.2021.03.005" TargetMode="External" /><Relationship Type="http://schemas.openxmlformats.org/officeDocument/2006/relationships/hyperlink" Id="rId59" Target="https://doi.org/10.1016/j.sandf.2020.02.010" TargetMode="External" /><Relationship Type="http://schemas.openxmlformats.org/officeDocument/2006/relationships/hyperlink" Id="rId47" Target="https://doi.org/10.1038/s41598-022-17429-z" TargetMode="External" /><Relationship Type="http://schemas.openxmlformats.org/officeDocument/2006/relationships/hyperlink" Id="rId57" Target="https://doi.org/10.1038/s41598-024-61313-x" TargetMode="External" /><Relationship Type="http://schemas.openxmlformats.org/officeDocument/2006/relationships/hyperlink" Id="rId49" Target="https://doi.org/10.1109/access.2020.2966881" TargetMode="External" /><Relationship Type="http://schemas.openxmlformats.org/officeDocument/2006/relationships/hyperlink" Id="rId45" Target="https://doi.org/10.1109/access.2022.3196660" TargetMode="External" /><Relationship Type="http://schemas.openxmlformats.org/officeDocument/2006/relationships/hyperlink" Id="rId81" Target="https://doi.org/10.1109/tits.2022.3161689" TargetMode="External" /><Relationship Type="http://schemas.openxmlformats.org/officeDocument/2006/relationships/hyperlink" Id="rId63" Target="https://doi.org/10.1111/mice.70102" TargetMode="External" /><Relationship Type="http://schemas.openxmlformats.org/officeDocument/2006/relationships/hyperlink" Id="rId51" Target="https://doi.org/10.1139/cjce-2017-0132" TargetMode="External" /><Relationship Type="http://schemas.openxmlformats.org/officeDocument/2006/relationships/hyperlink" Id="rId77" Target="https://doi.org/10.1177/03611981241245991" TargetMode="External" /><Relationship Type="http://schemas.openxmlformats.org/officeDocument/2006/relationships/hyperlink" Id="rId83" Target="https://doi.org/10.28991/cej-2025-011-01-06" TargetMode="External" /><Relationship Type="http://schemas.openxmlformats.org/officeDocument/2006/relationships/hyperlink" Id="rId61" Target="https://doi.org/10.3390/data3030028" TargetMode="External" /><Relationship Type="http://schemas.openxmlformats.org/officeDocument/2006/relationships/hyperlink" Id="rId67" Target="https://doi.org/10.3390/infrastructures6020028" TargetMode="External" /><Relationship Type="http://schemas.openxmlformats.org/officeDocument/2006/relationships/hyperlink" Id="rId71" Target="https://doi.org/10.3390/ma18122913" TargetMode="External" /><Relationship Type="http://schemas.openxmlformats.org/officeDocument/2006/relationships/hyperlink" Id="rId73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2026-08-09T04:24:08Z</dcterms:created>
  <dcterms:modified xsi:type="dcterms:W3CDTF">2026-08-09T04:24:08Z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