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69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69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 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(§10)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leakage, and is cited</w:t>
      </w:r>
      <w:r>
        <w:t xml:space="preserve"> </w:t>
      </w:r>
      <w:r>
        <w:t xml:space="preserve">throughout this review (§9, §10) as the type’s 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 tunnel pavement performance</w:t>
      </w:r>
      <w:r>
        <w:t xml:space="preserve"> </w:t>
      </w:r>
      <w:r>
        <w:t xml:space="preserve">within a digital-twin framework and report strong deployment integration, but</w:t>
      </w:r>
      <w:r>
        <w:t xml:space="preserve"> </w:t>
      </w:r>
      <w:r>
        <w:t xml:space="preserve">without the explicit leakage-avoidance statement that distinguishes Huang et al.’s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 The mirror-image</w:t>
      </w:r>
      <w:r>
        <w:t xml:space="preserve"> </w:t>
      </w:r>
      <w:r>
        <w:t xml:space="preserve">worked example — full-text confirmation of the failure mode item 7 is written to</w:t>
      </w:r>
      <w:r>
        <w:t xml:space="preserve"> </w:t>
      </w:r>
      <w:r>
        <w:t xml:space="preserve">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 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1">
        <w:r>
          <w:rPr>
            <w:rStyle w:val="Hyperlink"/>
          </w:rPr>
          <w:t xml:space="preserve">https://doi.org/10.3390/asi9070133</w:t>
        </w:r>
      </w:hyperlink>
    </w:p>
    <w:bookmarkEnd w:id="102"/>
    <w:bookmarkStart w:id="10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3">
        <w:r>
          <w:rPr>
            <w:rStyle w:val="Hyperlink"/>
          </w:rPr>
          <w:t xml:space="preserve">https://doi.org/10.3390/app9163221</w:t>
        </w:r>
      </w:hyperlink>
    </w:p>
    <w:bookmarkEnd w:id="104"/>
    <w:bookmarkStart w:id="10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5">
        <w:r>
          <w:rPr>
            <w:rStyle w:val="Hyperlink"/>
          </w:rPr>
          <w:t xml:space="preserve">https://doi.org/10.48550/arxiv.2112.12589</w:t>
        </w:r>
      </w:hyperlink>
    </w:p>
    <w:bookmarkEnd w:id="106"/>
    <w:bookmarkStart w:id="108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7">
        <w:r>
          <w:rPr>
            <w:rStyle w:val="Hyperlink"/>
          </w:rPr>
          <w:t xml:space="preserve">https://doi.org/10.1007/s43995-026-00294-6</w:t>
        </w:r>
      </w:hyperlink>
    </w:p>
    <w:bookmarkEnd w:id="108"/>
    <w:bookmarkStart w:id="11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09">
        <w:r>
          <w:rPr>
            <w:rStyle w:val="Hyperlink"/>
          </w:rPr>
          <w:t xml:space="preserve">https://doi.org/10.1111/mice.70169</w:t>
        </w:r>
      </w:hyperlink>
    </w:p>
    <w:bookmarkEnd w:id="110"/>
    <w:bookmarkStart w:id="11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1">
        <w:r>
          <w:rPr>
            <w:rStyle w:val="Hyperlink"/>
          </w:rPr>
          <w:t xml:space="preserve">https://doi.org/10.1177/03611981241245991</w:t>
        </w:r>
      </w:hyperlink>
    </w:p>
    <w:bookmarkEnd w:id="112"/>
    <w:bookmarkStart w:id="11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3">
        <w:r>
          <w:rPr>
            <w:rStyle w:val="Hyperlink"/>
          </w:rPr>
          <w:t xml:space="preserve">https://doi.org/10.3390/s23073772</w:t>
        </w:r>
      </w:hyperlink>
    </w:p>
    <w:bookmarkEnd w:id="114"/>
    <w:bookmarkStart w:id="116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https://doi.org/10.1016/j.conbuildmat.2023.133523</w:t>
        </w:r>
      </w:hyperlink>
    </w:p>
    <w:bookmarkEnd w:id="116"/>
    <w:bookmarkStart w:id="118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7">
        <w:r>
          <w:rPr>
            <w:rStyle w:val="Hyperlink"/>
          </w:rPr>
          <w:t xml:space="preserve">https://doi.org/10.3390/app132312862</w:t>
        </w:r>
      </w:hyperlink>
    </w:p>
    <w:bookmarkEnd w:id="118"/>
    <w:bookmarkStart w:id="12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19">
        <w:r>
          <w:rPr>
            <w:rStyle w:val="Hyperlink"/>
          </w:rPr>
          <w:t xml:space="preserve">https://doi.org/10.1016/j.jtte.2021.03.005</w:t>
        </w:r>
      </w:hyperlink>
    </w:p>
    <w:bookmarkEnd w:id="120"/>
    <w:bookmarkStart w:id="12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21">
        <w:r>
          <w:rPr>
            <w:rStyle w:val="Hyperlink"/>
          </w:rPr>
          <w:t xml:space="preserve">https://doi.org/10.1109/tits.2022.3161689</w:t>
        </w:r>
      </w:hyperlink>
    </w:p>
    <w:bookmarkEnd w:id="122"/>
    <w:bookmarkStart w:id="12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3">
        <w:r>
          <w:rPr>
            <w:rStyle w:val="Hyperlink"/>
          </w:rPr>
          <w:t xml:space="preserve">https://doi.org/10.1155/2020/8824135</w:t>
        </w:r>
      </w:hyperlink>
    </w:p>
    <w:bookmarkEnd w:id="124"/>
    <w:bookmarkStart w:id="12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5">
        <w:r>
          <w:rPr>
            <w:rStyle w:val="Hyperlink"/>
          </w:rPr>
          <w:t xml:space="preserve">https://doi.org/10.28991/cej-2025-011-01-06</w:t>
        </w:r>
      </w:hyperlink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2026-08-09T05:18:11Z</dcterms:created>
  <dcterms:modified xsi:type="dcterms:W3CDTF">2026-08-09T05:18:11Z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