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§10.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§10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(§10),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15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69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24</w:t>
      </w:r>
      <w:r>
        <w:t xml:space="preserve"> </w:t>
      </w:r>
      <w:r>
        <w:t xml:space="preserve">of 69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4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first-published member of the series,</w:t>
      </w:r>
      <w:r>
        <w:t xml:space="preserve"> </w:t>
      </w:r>
      <w:r>
        <w:t xml:space="preserve">Alnaqbi et al. (2025f)</w:t>
      </w:r>
      <w:r>
        <w:t xml:space="preserve">, confirms rather than merely suspects the leakage concern:</w:t>
      </w:r>
      <w:r>
        <w:t xml:space="preserve"> </w:t>
      </w:r>
      <w:r>
        <w:t xml:space="preserve">the paper states its partitioning plainly as</w:t>
      </w:r>
      <w:r>
        <w:t xml:space="preserve"> </w:t>
      </w:r>
      <w:r>
        <w:t xml:space="preserve">“the dataset was split into 5</w:t>
      </w:r>
      <w:r>
        <w:t xml:space="preserve"> </w:t>
      </w:r>
      <w:r>
        <w:t xml:space="preserve">subsets, and the model was trained and tested 5 times, each time using a</w:t>
      </w:r>
      <w:r>
        <w:t xml:space="preserve"> </w:t>
      </w:r>
      <w:r>
        <w:t xml:space="preserve">different subset as the test set and the remaining subsets as the training set”</w:t>
      </w:r>
      <w:r>
        <w:t xml:space="preserve"> </w:t>
      </w:r>
      <w:r>
        <w:t xml:space="preserve">— a random split at the observation level, with no mention anywhere in the</w:t>
      </w:r>
      <w:r>
        <w:t xml:space="preserve"> </w:t>
      </w:r>
      <w:r>
        <w:t xml:space="preserve">methods section of grouping by the 33 physical CRCP sections the 395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(§10) is written to catch. The paper’s own</w:t>
      </w:r>
      <w:r>
        <w:t xml:space="preserve"> </w:t>
      </w:r>
      <w:r>
        <w:t xml:space="preserve">Limitations section separately states that</w:t>
      </w:r>
      <w:r>
        <w:t xml:space="preserve"> </w:t>
      </w:r>
      <w:r>
        <w:t xml:space="preserve">“only fivefold cross-validation was</w:t>
      </w:r>
      <w:r>
        <w:t xml:space="preserve"> </w:t>
      </w:r>
      <w:r>
        <w:t xml:space="preserve">used to assess the model… no independent testing was done using additional</w:t>
      </w:r>
      <w:r>
        <w:t xml:space="preserve"> </w:t>
      </w:r>
      <w:r>
        <w:t xml:space="preserve">datasets,”</w:t>
      </w:r>
      <w:r>
        <w:t xml:space="preserve"> </w:t>
      </w:r>
      <w:r>
        <w:t xml:space="preserve">which independently 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</w:t>
      </w:r>
      <w:r>
        <w:t xml:space="preserve"> </w:t>
      </w:r>
      <w:r>
        <w:t xml:space="preserve">under the criterion in §2.3, in the authors’</w:t>
      </w:r>
      <w:r>
        <w:t xml:space="preserve"> </w:t>
      </w:r>
      <w:r>
        <w:t xml:space="preserve">own words rather than by the</w:t>
      </w:r>
      <w:r>
        <w:t xml:space="preserve"> </w:t>
      </w:r>
      <w:r>
        <w:t xml:space="preserve">silence-as-absence convention. Worth noting for what it reveals about how such</w:t>
      </w:r>
      <w:r>
        <w:t xml:space="preserve"> </w:t>
      </w:r>
      <w:r>
        <w:t xml:space="preserve">concerns are currently addressed in this literature: the paper anticipates an</w:t>
      </w:r>
      <w:r>
        <w:t xml:space="preserve"> </w:t>
      </w:r>
      <w:r>
        <w:t xml:space="preserve">overfitting objection and defends against it by observing that RMSE stays within</w:t>
      </w:r>
      <w:r>
        <w:t xml:space="preserve"> </w:t>
      </w:r>
      <w:r>
        <w:t xml:space="preserve">a narrow band across folds (0.02791–0.06422) — but fold-to-fold consistency is</w:t>
      </w:r>
      <w:r>
        <w:t xml:space="preserve"> </w:t>
      </w:r>
      <w:r>
        <w:t xml:space="preserve">not evidence against the leakage pathway just described, since every fold would</w:t>
      </w:r>
      <w:r>
        <w:t xml:space="preserve"> </w:t>
      </w:r>
      <w:r>
        <w:t xml:space="preserve">share the same section-level contamination and so would be expected to perform</w:t>
      </w:r>
      <w:r>
        <w:t xml:space="preserve"> </w:t>
      </w:r>
      <w:r>
        <w:t xml:space="preserve">similarly whether or not the model has learned anything section-specific. The</w:t>
      </w:r>
      <w:r>
        <w:t xml:space="preserve"> </w:t>
      </w:r>
      <w:r>
        <w:t xml:space="preserve">remaining seven papers in 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</w:t>
      </w:r>
      <w:r>
        <w:t xml:space="preserve"> </w:t>
      </w:r>
      <w:r>
        <w:t xml:space="preserve">full-text check now completed for the first; nothing in their abstracts suggests</w:t>
      </w:r>
      <w:r>
        <w:t xml:space="preserve"> </w:t>
      </w:r>
      <w:r>
        <w:t xml:space="preserve">a different partitioning procedure was used.</w:t>
      </w:r>
    </w:p>
    <w:p>
      <w:pPr>
        <w:pStyle w:val="BodyText"/>
      </w:pPr>
      <w:r>
        <w:t xml:space="preserve">Two further pieces of evidence extend the pattern beyond one author team. Xiao et</w:t>
      </w:r>
      <w:r>
        <w:t xml:space="preserve"> </w:t>
      </w:r>
      <w:r>
        <w:t xml:space="preserve">al.’s TPE-CatBoost faulting model</w:t>
      </w:r>
      <w:r>
        <w:t xml:space="preserve"> </w:t>
      </w:r>
      <w:r>
        <w:t xml:space="preserve">(Xiao et al., 2023)</w:t>
      </w:r>
      <w:r>
        <w:t xml:space="preserve"> </w:t>
      </w:r>
      <w:r>
        <w:t xml:space="preserve">shows the same ambiguity</w:t>
      </w:r>
      <w:r>
        <w:t xml:space="preserve"> </w:t>
      </w:r>
      <w:r>
        <w:t xml:space="preserve">on a different rigid-pavement LTPP substrate: Boruta feature selection is</w:t>
      </w:r>
      <w:r>
        <w:t xml:space="preserve"> </w:t>
      </w:r>
      <w:r>
        <w:t xml:space="preserve">described as preceding TPE hyperparameter tuning, but neither the paper’s</w:t>
      </w:r>
      <w:r>
        <w:t xml:space="preserve"> </w:t>
      </w:r>
      <w:r>
        <w:t xml:space="preserve">abstract nor its available summary states whether Boruta was fitted on the</w:t>
      </w:r>
      <w:r>
        <w:t xml:space="preserve"> </w:t>
      </w:r>
      <w:r>
        <w:t xml:space="preserve">training partition alone or on the full 160-observation pool before any split</w:t>
      </w:r>
      <w:r>
        <w:t xml:space="preserve"> </w:t>
      </w:r>
      <w:r>
        <w:t xml:space="preserve">was made. And a citation search while verifying the Alnaqbi series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one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§10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4"/>
    <w:bookmarkStart w:id="35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leakage, and is cited</w:t>
      </w:r>
      <w:r>
        <w:t xml:space="preserve"> </w:t>
      </w:r>
      <w:r>
        <w:t xml:space="preserve">throughout this review (§9, §10) as the type’s 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 tunnel pavement performance</w:t>
      </w:r>
      <w:r>
        <w:t xml:space="preserve"> </w:t>
      </w:r>
      <w:r>
        <w:t xml:space="preserve">within a digital-twin framework and report strong deployment integration, but</w:t>
      </w:r>
      <w:r>
        <w:t xml:space="preserve"> </w:t>
      </w:r>
      <w:r>
        <w:t xml:space="preserve">without the explicit leakage-avoidance statement that distinguishes Huang et al.’s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5"/>
    <w:bookmarkStart w:id="40" w:name="sec-premium"/>
    <w:p>
      <w:pPr>
        <w:pStyle w:val="Heading1"/>
      </w:pPr>
      <w:r>
        <w:t xml:space="preserve">9. The hybridisation premium</w:t>
      </w:r>
    </w:p>
    <w:bookmarkStart w:id="36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36"/>
    <w:bookmarkStart w:id="37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(§10) and were fixed before full-text coding</w:t>
      </w:r>
      <w:r>
        <w:t xml:space="preserve"> </w:t>
      </w:r>
      <w:r>
        <w:t xml:space="preserve">began.</w:t>
      </w:r>
    </w:p>
    <w:bookmarkEnd w:id="37"/>
    <w:bookmarkStart w:id="39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§10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39"/>
    <w:bookmarkEnd w:id="40"/>
    <w:bookmarkStart w:id="4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PLACEHOLDER.</w:t>
      </w:r>
    </w:p>
    <w:bookmarkEnd w:id="41"/>
    <w:bookmarkStart w:id="4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bookmarkEnd w:id="42"/>
    <w:bookmarkStart w:id="43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</w:p>
    <w:p>
      <w:pPr>
        <w:pStyle w:val="BodyText"/>
      </w:pPr>
      <w:r>
        <w:t xml:space="preserve">The full instrument — twenty items across five domains (data provenance,</w:t>
      </w:r>
      <w:r>
        <w:t xml:space="preserve"> </w:t>
      </w:r>
      <w:r>
        <w:t xml:space="preserve">preprocessing and partitioning, modelling and comparison, evaluation and</w:t>
      </w:r>
      <w:r>
        <w:t xml:space="preserve"> </w:t>
      </w:r>
      <w:r>
        <w:t xml:space="preserve">interpretation, and generalisation and transparency), plus four items specific to</w:t>
      </w:r>
      <w:r>
        <w:t xml:space="preserve"> </w:t>
      </w:r>
      <w:r>
        <w:t xml:space="preserve">hybrid pipelines — is reproduced in full in the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docs/03_PAVE-ML_instrument.md</w:t>
      </w:r>
      <w:r>
        <w:t xml:space="preserve">), together with the operational decision rules and</w:t>
      </w:r>
      <w:r>
        <w:t xml:space="preserve"> </w:t>
      </w:r>
      <w:r>
        <w:t xml:space="preserve">worked examples that make the coding reproducible rather than a matter of reader</w:t>
      </w:r>
      <w:r>
        <w:t xml:space="preserve"> </w:t>
      </w:r>
      <w:r>
        <w:t xml:space="preserve">judgement. 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at the time of writing, the clearest example in the seed</w:t>
      </w:r>
      <w:r>
        <w:t xml:space="preserve"> </w:t>
      </w:r>
      <w:r>
        <w:t xml:space="preserve">corpus of a study satisfying the spirit of items in this list without having been</w:t>
      </w:r>
      <w:r>
        <w:t xml:space="preserve"> </w:t>
      </w:r>
      <w:r>
        <w:t xml:space="preserve">written against it — its stacking meta-learner is trained on cross-validated,</w:t>
      </w:r>
      <w:r>
        <w:t xml:space="preserve"> </w:t>
      </w:r>
      <w:r>
        <w:t xml:space="preserve">not in-fold, predictions specifically to avoid leakage, which is exactly the</w:t>
      </w:r>
      <w:r>
        <w:t xml:space="preserve"> </w:t>
      </w:r>
      <w:r>
        <w:t xml:space="preserve">practice item 7 of the general instrument (grouped/blocked partitioning respected</w:t>
      </w:r>
      <w:r>
        <w:t xml:space="preserve"> </w:t>
      </w:r>
      <w:r>
        <w:t xml:space="preserve">by all fitted preprocessing) is written to detect the absence of. The mirror-image</w:t>
      </w:r>
      <w:r>
        <w:t xml:space="preserve"> </w:t>
      </w:r>
      <w:r>
        <w:t xml:space="preserve">worked example — full-text confirmation of the failure mode item 7 is written to</w:t>
      </w:r>
      <w:r>
        <w:t xml:space="preserve"> </w:t>
      </w:r>
      <w:r>
        <w:t xml:space="preserve">catch, rather than of its avoidance — is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(§7): its methods</w:t>
      </w:r>
      <w:r>
        <w:t xml:space="preserve"> </w:t>
      </w:r>
      <w:r>
        <w:t xml:space="preserve">section states the five-fold split plainly as a random partition of individual</w:t>
      </w:r>
      <w:r>
        <w:t xml:space="preserve"> </w:t>
      </w:r>
      <w:r>
        <w:t xml:space="preserve">observations, with no grouping by the 33 physical sections those observations are</w:t>
      </w:r>
      <w:r>
        <w:t xml:space="preserve"> </w:t>
      </w:r>
      <w:r>
        <w:t xml:space="preserve">drawn from, and its own Limitations section separately confirms the absence of</w:t>
      </w:r>
      <w:r>
        <w:t xml:space="preserve"> </w:t>
      </w:r>
      <w:r>
        <w:t xml:space="preserve">external validation. The two papers, read together, are what the fully coded</w:t>
      </w:r>
      <w:r>
        <w:t xml:space="preserve"> </w:t>
      </w:r>
      <w:r>
        <w:t xml:space="preserve">corpus is expected to look like at scale: a minority explicitly designing around</w:t>
      </w:r>
      <w:r>
        <w:t xml:space="preserve"> </w:t>
      </w:r>
      <w:r>
        <w:t xml:space="preserve">the leakage and validation items in this instrument, and a majority whose methods</w:t>
      </w:r>
      <w:r>
        <w:t xml:space="preserve"> </w:t>
      </w:r>
      <w:r>
        <w:t xml:space="preserve">sections, once actually read rather than inferred from an abstract, turn out to</w:t>
      </w:r>
      <w:r>
        <w:t xml:space="preserve"> </w:t>
      </w:r>
      <w:r>
        <w:t xml:space="preserve">say plainly what §2’s silence-as-absence convention would in any case have coded.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43"/>
    <w:bookmarkStart w:id="44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44"/>
    <w:bookmarkStart w:id="45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(§10)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45"/>
    <w:bookmarkStart w:id="46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46"/>
    <w:bookmarkStart w:id="47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47"/>
    <w:bookmarkStart w:id="4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48"/>
    <w:bookmarkStart w:id="128" w:name="references"/>
    <w:p>
      <w:pPr>
        <w:pStyle w:val="Heading1"/>
      </w:pPr>
      <w:r>
        <w:t xml:space="preserve">References</w:t>
      </w:r>
    </w:p>
    <w:bookmarkStart w:id="127" w:name="refs"/>
    <w:bookmarkStart w:id="50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49">
        <w:r>
          <w:rPr>
            <w:rStyle w:val="Hyperlink"/>
          </w:rPr>
          <w:t xml:space="preserve">https://doi.org/10.1109/access.2022.3196660</w:t>
        </w:r>
      </w:hyperlink>
    </w:p>
    <w:bookmarkEnd w:id="50"/>
    <w:bookmarkStart w:id="52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1">
        <w:r>
          <w:rPr>
            <w:rStyle w:val="Hyperlink"/>
          </w:rPr>
          <w:t xml:space="preserve">https://doi.org/10.1007/s43995-025-00214-0</w:t>
        </w:r>
      </w:hyperlink>
    </w:p>
    <w:bookmarkEnd w:id="52"/>
    <w:bookmarkStart w:id="54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53">
        <w:r>
          <w:rPr>
            <w:rStyle w:val="Hyperlink"/>
          </w:rPr>
          <w:t xml:space="preserve">https://doi.org/10.1007/s41024-025-00667-9</w:t>
        </w:r>
      </w:hyperlink>
    </w:p>
    <w:bookmarkEnd w:id="54"/>
    <w:bookmarkStart w:id="56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55">
        <w:r>
          <w:rPr>
            <w:rStyle w:val="Hyperlink"/>
          </w:rPr>
          <w:t xml:space="preserve">https://doi.org/10.1007/s44290-025-00381-y</w:t>
        </w:r>
      </w:hyperlink>
    </w:p>
    <w:bookmarkEnd w:id="56"/>
    <w:bookmarkStart w:id="58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57">
        <w:r>
          <w:rPr>
            <w:rStyle w:val="Hyperlink"/>
          </w:rPr>
          <w:t xml:space="preserve">https://doi.org/10.1186/s44147-025-00623-x</w:t>
        </w:r>
      </w:hyperlink>
    </w:p>
    <w:bookmarkEnd w:id="58"/>
    <w:bookmarkStart w:id="60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59">
        <w:r>
          <w:rPr>
            <w:rStyle w:val="Hyperlink"/>
          </w:rPr>
          <w:t xml:space="preserve">https://doi.org/10.1007/s41024-024-00499-z</w:t>
        </w:r>
      </w:hyperlink>
    </w:p>
    <w:bookmarkEnd w:id="60"/>
    <w:bookmarkStart w:id="62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1">
        <w:r>
          <w:rPr>
            <w:rStyle w:val="Hyperlink"/>
          </w:rPr>
          <w:t xml:space="preserve">https://doi.org/10.3390/constrmater6010006</w:t>
        </w:r>
      </w:hyperlink>
    </w:p>
    <w:bookmarkEnd w:id="62"/>
    <w:bookmarkStart w:id="64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63">
        <w:r>
          <w:rPr>
            <w:rStyle w:val="Hyperlink"/>
          </w:rPr>
          <w:t xml:space="preserve">https://doi.org/10.1007/s41062-025-02249-7</w:t>
        </w:r>
      </w:hyperlink>
    </w:p>
    <w:bookmarkEnd w:id="64"/>
    <w:bookmarkStart w:id="66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https://doi.org/10.1186/s44147-025-00706-9</w:t>
        </w:r>
      </w:hyperlink>
    </w:p>
    <w:bookmarkEnd w:id="66"/>
    <w:bookmarkStart w:id="68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67">
        <w:r>
          <w:rPr>
            <w:rStyle w:val="Hyperlink"/>
          </w:rPr>
          <w:t xml:space="preserve">https://doi.org/10.32604/cmc.2023.042183</w:t>
        </w:r>
      </w:hyperlink>
    </w:p>
    <w:bookmarkEnd w:id="68"/>
    <w:bookmarkStart w:id="70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69">
        <w:r>
          <w:rPr>
            <w:rStyle w:val="Hyperlink"/>
          </w:rPr>
          <w:t xml:space="preserve">https://doi.org/10.1038/s41598-022-17429-z</w:t>
        </w:r>
      </w:hyperlink>
    </w:p>
    <w:bookmarkEnd w:id="70"/>
    <w:bookmarkStart w:id="72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1">
        <w:r>
          <w:rPr>
            <w:rStyle w:val="Hyperlink"/>
          </w:rPr>
          <w:t xml:space="preserve">https://doi.org/10.1109/access.2020.2966881</w:t>
        </w:r>
      </w:hyperlink>
    </w:p>
    <w:bookmarkEnd w:id="72"/>
    <w:bookmarkStart w:id="74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73">
        <w:r>
          <w:rPr>
            <w:rStyle w:val="Hyperlink"/>
          </w:rPr>
          <w:t xml:space="preserve">https://doi.org/10.1186/s43065-023-00082-9</w:t>
        </w:r>
      </w:hyperlink>
    </w:p>
    <w:bookmarkEnd w:id="74"/>
    <w:bookmarkStart w:id="7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75">
        <w:r>
          <w:rPr>
            <w:rStyle w:val="Hyperlink"/>
          </w:rPr>
          <w:t xml:space="preserve">https://doi.org/10.1139/cjce-2017-0132</w:t>
        </w:r>
      </w:hyperlink>
    </w:p>
    <w:bookmarkEnd w:id="76"/>
    <w:bookmarkStart w:id="7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77">
        <w:r>
          <w:rPr>
            <w:rStyle w:val="Hyperlink"/>
          </w:rPr>
          <w:t xml:space="preserve">https://doi.org/10.1109/access.2020.2991968</w:t>
        </w:r>
      </w:hyperlink>
    </w:p>
    <w:bookmarkEnd w:id="78"/>
    <w:bookmarkStart w:id="8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79">
        <w:r>
          <w:rPr>
            <w:rStyle w:val="Hyperlink"/>
          </w:rPr>
          <w:t xml:space="preserve">https://doi.org/10.3390/infrastructures11040127</w:t>
        </w:r>
      </w:hyperlink>
    </w:p>
    <w:bookmarkEnd w:id="80"/>
    <w:bookmarkStart w:id="82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81">
        <w:r>
          <w:rPr>
            <w:rStyle w:val="Hyperlink"/>
          </w:rPr>
          <w:t xml:space="preserve">https://doi.org/10.1007/s41062-020-00312-z</w:t>
        </w:r>
      </w:hyperlink>
    </w:p>
    <w:bookmarkEnd w:id="82"/>
    <w:bookmarkStart w:id="84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83">
        <w:r>
          <w:rPr>
            <w:rStyle w:val="Hyperlink"/>
          </w:rPr>
          <w:t xml:space="preserve">https://doi.org/10.1016/j.conbuildmat.2025.143050</w:t>
        </w:r>
      </w:hyperlink>
    </w:p>
    <w:bookmarkEnd w:id="84"/>
    <w:bookmarkStart w:id="86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85">
        <w:r>
          <w:rPr>
            <w:rStyle w:val="Hyperlink"/>
          </w:rPr>
          <w:t xml:space="preserve">https://doi.org/10.1038/s41598-024-61313-x</w:t>
        </w:r>
      </w:hyperlink>
    </w:p>
    <w:bookmarkEnd w:id="86"/>
    <w:bookmarkStart w:id="88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87">
        <w:r>
          <w:rPr>
            <w:rStyle w:val="Hyperlink"/>
          </w:rPr>
          <w:t xml:space="preserve">https://doi.org/10.1016/j.sandf.2020.02.010</w:t>
        </w:r>
      </w:hyperlink>
    </w:p>
    <w:bookmarkEnd w:id="88"/>
    <w:bookmarkStart w:id="90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89">
        <w:r>
          <w:rPr>
            <w:rStyle w:val="Hyperlink"/>
          </w:rPr>
          <w:t xml:space="preserve">https://doi.org/10.3390/data3030028</w:t>
        </w:r>
      </w:hyperlink>
    </w:p>
    <w:bookmarkEnd w:id="90"/>
    <w:bookmarkStart w:id="92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91">
        <w:r>
          <w:rPr>
            <w:rStyle w:val="Hyperlink"/>
          </w:rPr>
          <w:t xml:space="preserve">https://doi.org/10.1111/mice.70102</w:t>
        </w:r>
      </w:hyperlink>
    </w:p>
    <w:bookmarkEnd w:id="92"/>
    <w:bookmarkStart w:id="9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93">
        <w:r>
          <w:rPr>
            <w:rStyle w:val="Hyperlink"/>
          </w:rPr>
          <w:t xml:space="preserve">https://doi.org/10.1016/j.cscm.2022.e00991</w:t>
        </w:r>
      </w:hyperlink>
    </w:p>
    <w:bookmarkEnd w:id="94"/>
    <w:bookmarkStart w:id="9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95">
        <w:r>
          <w:rPr>
            <w:rStyle w:val="Hyperlink"/>
          </w:rPr>
          <w:t xml:space="preserve">https://doi.org/10.3390/infrastructures6020028</w:t>
        </w:r>
      </w:hyperlink>
    </w:p>
    <w:bookmarkEnd w:id="96"/>
    <w:bookmarkStart w:id="9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97">
        <w:r>
          <w:rPr>
            <w:rStyle w:val="Hyperlink"/>
          </w:rPr>
          <w:t xml:space="preserve">https://doi.org/10.1016/j.eng.2020.07.030</w:t>
        </w:r>
      </w:hyperlink>
    </w:p>
    <w:bookmarkEnd w:id="98"/>
    <w:bookmarkStart w:id="10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99">
        <w:r>
          <w:rPr>
            <w:rStyle w:val="Hyperlink"/>
          </w:rPr>
          <w:t xml:space="preserve">https://doi.org/10.3390/ma18122913</w:t>
        </w:r>
      </w:hyperlink>
    </w:p>
    <w:bookmarkEnd w:id="100"/>
    <w:bookmarkStart w:id="102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01">
        <w:r>
          <w:rPr>
            <w:rStyle w:val="Hyperlink"/>
          </w:rPr>
          <w:t xml:space="preserve">https://doi.org/10.3390/asi9070133</w:t>
        </w:r>
      </w:hyperlink>
    </w:p>
    <w:bookmarkEnd w:id="102"/>
    <w:bookmarkStart w:id="104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03">
        <w:r>
          <w:rPr>
            <w:rStyle w:val="Hyperlink"/>
          </w:rPr>
          <w:t xml:space="preserve">https://doi.org/10.3390/app9163221</w:t>
        </w:r>
      </w:hyperlink>
    </w:p>
    <w:bookmarkEnd w:id="104"/>
    <w:bookmarkStart w:id="106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05">
        <w:r>
          <w:rPr>
            <w:rStyle w:val="Hyperlink"/>
          </w:rPr>
          <w:t xml:space="preserve">https://doi.org/10.48550/arxiv.2112.12589</w:t>
        </w:r>
      </w:hyperlink>
    </w:p>
    <w:bookmarkEnd w:id="106"/>
    <w:bookmarkStart w:id="108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07">
        <w:r>
          <w:rPr>
            <w:rStyle w:val="Hyperlink"/>
          </w:rPr>
          <w:t xml:space="preserve">https://doi.org/10.1007/s43995-026-00294-6</w:t>
        </w:r>
      </w:hyperlink>
    </w:p>
    <w:bookmarkEnd w:id="108"/>
    <w:bookmarkStart w:id="110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09">
        <w:r>
          <w:rPr>
            <w:rStyle w:val="Hyperlink"/>
          </w:rPr>
          <w:t xml:space="preserve">https://doi.org/10.1111/mice.70169</w:t>
        </w:r>
      </w:hyperlink>
    </w:p>
    <w:bookmarkEnd w:id="110"/>
    <w:bookmarkStart w:id="112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11">
        <w:r>
          <w:rPr>
            <w:rStyle w:val="Hyperlink"/>
          </w:rPr>
          <w:t xml:space="preserve">https://doi.org/10.1177/03611981241245991</w:t>
        </w:r>
      </w:hyperlink>
    </w:p>
    <w:bookmarkEnd w:id="112"/>
    <w:bookmarkStart w:id="114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13">
        <w:r>
          <w:rPr>
            <w:rStyle w:val="Hyperlink"/>
          </w:rPr>
          <w:t xml:space="preserve">https://doi.org/10.3390/s23073772</w:t>
        </w:r>
      </w:hyperlink>
    </w:p>
    <w:bookmarkEnd w:id="114"/>
    <w:bookmarkStart w:id="116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15">
        <w:r>
          <w:rPr>
            <w:rStyle w:val="Hyperlink"/>
          </w:rPr>
          <w:t xml:space="preserve">https://doi.org/10.1016/j.conbuildmat.2023.133523</w:t>
        </w:r>
      </w:hyperlink>
    </w:p>
    <w:bookmarkEnd w:id="116"/>
    <w:bookmarkStart w:id="118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17">
        <w:r>
          <w:rPr>
            <w:rStyle w:val="Hyperlink"/>
          </w:rPr>
          <w:t xml:space="preserve">https://doi.org/10.3390/app132312862</w:t>
        </w:r>
      </w:hyperlink>
    </w:p>
    <w:bookmarkEnd w:id="118"/>
    <w:bookmarkStart w:id="120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19">
        <w:r>
          <w:rPr>
            <w:rStyle w:val="Hyperlink"/>
          </w:rPr>
          <w:t xml:space="preserve">https://doi.org/10.1016/j.jtte.2021.03.005</w:t>
        </w:r>
      </w:hyperlink>
    </w:p>
    <w:bookmarkEnd w:id="120"/>
    <w:bookmarkStart w:id="122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21">
        <w:r>
          <w:rPr>
            <w:rStyle w:val="Hyperlink"/>
          </w:rPr>
          <w:t xml:space="preserve">https://doi.org/10.1109/tits.2022.3161689</w:t>
        </w:r>
      </w:hyperlink>
    </w:p>
    <w:bookmarkEnd w:id="122"/>
    <w:bookmarkStart w:id="124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23">
        <w:r>
          <w:rPr>
            <w:rStyle w:val="Hyperlink"/>
          </w:rPr>
          <w:t xml:space="preserve">https://doi.org/10.1155/2020/8824135</w:t>
        </w:r>
      </w:hyperlink>
    </w:p>
    <w:bookmarkEnd w:id="124"/>
    <w:bookmarkStart w:id="126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25">
        <w:r>
          <w:rPr>
            <w:rStyle w:val="Hyperlink"/>
          </w:rPr>
          <w:t xml:space="preserve">https://doi.org/10.28991/cej-2025-011-01-06</w:t>
        </w:r>
      </w:hyperlink>
    </w:p>
    <w:bookmarkEnd w:id="126"/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5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9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1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3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5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7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5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9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1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3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5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7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2026-08-09T04:57:34Z</dcterms:created>
  <dcterms:modified xsi:type="dcterms:W3CDTF">2026-08-09T04:57:34Z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