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 — the baseline that would isolate what</w:t>
      </w:r>
      <w:r>
        <w:t xml:space="preserve"> </w:t>
      </w:r>
      <w:r>
        <w:t xml:space="preserve">the metaheuristic actually contributed. Where that comparison has been made, in the</w:t>
      </w:r>
      <w:r>
        <w:t xml:space="preserve"> </w:t>
      </w:r>
      <w:r>
        <w:t xml:space="preserve">small number of cases we have located so far, the hybrid’s advantage over a properly</w:t>
      </w:r>
      <w:r>
        <w:t xml:space="preserve"> </w:t>
      </w:r>
      <w:r>
        <w:t xml:space="preserve">tuned baseline 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tuned eight learners, including deep</w:t>
      </w:r>
      <w:r>
        <w:t xml:space="preserve"> </w:t>
      </w:r>
      <w:r>
        <w:t xml:space="preserve">architectures, against the Witczak and Hirsch mechanistic models for asphalt dynamic</w:t>
      </w:r>
      <w:r>
        <w:t xml:space="preserve"> </w:t>
      </w:r>
      <w:r>
        <w:t xml:space="preserve">modulus; the winner was a tuned bagging ensemble, not a hybrid and not a deep</w:t>
      </w:r>
      <w:r>
        <w:t xml:space="preserve"> </w:t>
      </w:r>
      <w:r>
        <w:t xml:space="preserve">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</w:t>
      </w:r>
      <w:r>
        <w:t xml:space="preserve"> </w:t>
      </w:r>
      <w:r>
        <w:t xml:space="preserve">one base learner against each other and report top-three results within a fraction</w:t>
      </w:r>
      <w:r>
        <w:t xml:space="preserve"> </w:t>
      </w:r>
      <w:r>
        <w:t xml:space="preserve">of a percentage point of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— a separation well inside what a different random</w:t>
      </w:r>
      <w:r>
        <w:t xml:space="preserve"> </w:t>
      </w:r>
      <w:r>
        <w:t xml:space="preserve">seed would produce — but never against a conventionally tuned version of the same</w:t>
      </w:r>
      <w:r>
        <w:t xml:space="preserve"> </w:t>
      </w:r>
      <w:r>
        <w:t xml:space="preserve">learner, so no premium can be read from the paper at all. These two studies, sitting</w:t>
      </w:r>
      <w:r>
        <w:t xml:space="preserve"> </w:t>
      </w:r>
      <w:r>
        <w:t xml:space="preserve">side by side in the same sub-field, illustrate the gap this review sets out to</w:t>
      </w:r>
      <w:r>
        <w:t xml:space="preserve"> </w:t>
      </w:r>
      <w:r>
        <w:t xml:space="preserve">measure at scale:</w:t>
      </w:r>
      <w:r>
        <w:t xml:space="preserve"> </w:t>
      </w:r>
      <w:r>
        <w:rPr>
          <w:b/>
          <w:bCs/>
        </w:rPr>
        <w:t xml:space="preserve">how often is the hybridisation premium — the gain attributable</w:t>
      </w:r>
      <w:r>
        <w:rPr>
          <w:b/>
          <w:bCs/>
        </w:rPr>
        <w:t xml:space="preserve"> </w:t>
      </w:r>
      <w:r>
        <w:rPr>
          <w:b/>
          <w:bCs/>
        </w:rPr>
        <w:t xml:space="preserve">to the coupling itself, over a fairly tuned baseline — actually reported, and how</w:t>
      </w:r>
      <w:r>
        <w:rPr>
          <w:b/>
          <w:bCs/>
        </w:rPr>
        <w:t xml:space="preserve"> </w:t>
      </w:r>
      <w:r>
        <w:rPr>
          <w:b/>
          <w:bCs/>
        </w:rPr>
        <w:t xml:space="preserve">large is it when it is?</w:t>
      </w:r>
    </w:p>
    <w:p>
      <w:pPr>
        <w:pStyle w:val="BodyText"/>
      </w:pPr>
      <w:r>
        <w:t xml:space="preserve">Answering this requires solving a prior problem, which turns out to be nontrivial in</w:t>
      </w:r>
      <w:r>
        <w:t xml:space="preserve"> </w:t>
      </w:r>
      <w:r>
        <w:t xml:space="preserve">its own right: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 relevant work, because many qualifying</w:t>
      </w:r>
      <w:r>
        <w:t xml:space="preserve"> </w:t>
      </w:r>
      <w:r>
        <w:t xml:space="preserve">studies describe themselves with the vocabulary of optimisation rather than of</w:t>
      </w:r>
      <w:r>
        <w:t xml:space="preserve"> </w:t>
      </w:r>
      <w:r>
        <w:t xml:space="preserve">hybridity —</w:t>
      </w:r>
      <w:r>
        <w:t xml:space="preserve"> </w:t>
      </w:r>
      <w:r>
        <w:t xml:space="preserve">“optimised”</w:t>
      </w:r>
      <w:r>
        <w:t xml:space="preserve">,</w:t>
      </w:r>
      <w:r>
        <w:t xml:space="preserve"> </w:t>
      </w:r>
      <w:r>
        <w:t xml:space="preserve">“improved”</w:t>
      </w:r>
      <w:r>
        <w:t xml:space="preserve">,</w:t>
      </w:r>
      <w:r>
        <w:t xml:space="preserve"> </w:t>
      </w:r>
      <w:r>
        <w:t xml:space="preserve">“novel X–Y”</w:t>
      </w:r>
      <w:r>
        <w:t xml:space="preserve"> </w:t>
      </w:r>
      <w:r>
        <w:t xml:space="preserve">or simply the two</w:t>
      </w:r>
      <w:r>
        <w:t xml:space="preserve"> </w:t>
      </w:r>
      <w:r>
        <w:t xml:space="preserve">algorithm names side by side. Alhussan et al.’s dipper-throated-optimisation random</w:t>
      </w:r>
      <w:r>
        <w:t xml:space="preserve"> </w:t>
      </w:r>
      <w:r>
        <w:t xml:space="preserve">forest for pothole classification is a case in point: widely cited, structurally a</w:t>
      </w:r>
      <w:r>
        <w:t xml:space="preserve"> </w:t>
      </w:r>
      <w:r>
        <w:t xml:space="preserve">textbook metaheuristic-on-learner hybrid, and retrievable by a search on algorithm</w:t>
      </w:r>
      <w:r>
        <w:t xml:space="preserve"> </w:t>
      </w:r>
      <w:r>
        <w:t xml:space="preserve">names but not reliably by a 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</w:t>
      </w:r>
      <w:r>
        <w:t xml:space="preserve"> </w:t>
      </w:r>
      <w:r>
        <w:t xml:space="preserve">the algorithm-driven search design this observation motivates, and reports, as one</w:t>
      </w:r>
      <w:r>
        <w:t xml:space="preserve"> </w:t>
      </w:r>
      <w:r>
        <w:t xml:space="preserve">of the review’s descriptive findings, what share of the eligible literature would</w:t>
      </w:r>
      <w:r>
        <w:t xml:space="preserve"> </w:t>
      </w:r>
      <w:r>
        <w:t xml:space="preserve">have been missed by a label-driven search alone.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— data provenance, model</w:t>
      </w:r>
      <w:r>
        <w:t xml:space="preserve"> </w:t>
      </w:r>
      <w:r>
        <w:t xml:space="preserve">performance, explanation quality, physical plausibility, decision utility —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§10. The honest distinction is not that this territory is unoccupied;</w:t>
      </w:r>
      <w:r>
        <w:t xml:space="preserve"> </w:t>
      </w:r>
      <w:r>
        <w:t xml:space="preserve">it is that Jweihan’s review is organised around explainability as the object of</w:t>
      </w:r>
      <w:r>
        <w:t xml:space="preserve"> </w:t>
      </w:r>
      <w:r>
        <w:t xml:space="preserve">study and conducted at scoping-review depth (breadth of coverage, not per-study</w:t>
      </w:r>
      <w:r>
        <w:t xml:space="preserve"> </w:t>
      </w:r>
      <w:r>
        <w:t xml:space="preserve">methodological coding), whereas the present review is organised around</w:t>
      </w:r>
      <w:r>
        <w:t xml:space="preserve"> </w:t>
      </w:r>
      <w:r>
        <w:t xml:space="preserve">hybridisation — the optimiser-learner coupling itself — as the object of study,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</w:t>
      </w:r>
      <w:r>
        <w:t xml:space="preserve"> </w:t>
      </w:r>
      <w:r>
        <w:t xml:space="preserve">as a quantified premium rather than as a coverage synthesis. Interpretability is one</w:t>
      </w:r>
      <w:r>
        <w:t xml:space="preserve"> </w:t>
      </w:r>
      <w:r>
        <w:t xml:space="preserve">of several PAVE-ML domains in this review, not its organising question; the two</w:t>
      </w:r>
      <w:r>
        <w:t xml:space="preserve"> </w:t>
      </w:r>
      <w:r>
        <w:t xml:space="preserve">instruments are complementary rather than competing, and §10 states explicitly</w:t>
      </w:r>
      <w:r>
        <w:t xml:space="preserve"> </w:t>
      </w:r>
      <w:r>
        <w:t xml:space="preserve">where PAVE-ML’s interpretability items and Jweihan’s five-layer framework agree and</w:t>
      </w:r>
      <w:r>
        <w:t xml:space="preserve"> </w:t>
      </w:r>
      <w:r>
        <w:t xml:space="preserve">where they diverge. What none of these three contributions does — and what remains</w:t>
      </w:r>
      <w:r>
        <w:t xml:space="preserve"> </w:t>
      </w:r>
      <w:r>
        <w:t xml:space="preserve">this review’s distinguishing claim —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stated scope, to be verified against</w:t>
            </w:r>
            <w:r>
              <w:t xml:space="preserve"> </w:t>
            </w:r>
            <w:r>
              <w:t xml:space="preserve">the completed manuscript at</w:t>
            </w:r>
            <w:r>
              <w:t xml:space="preserve"> </w:t>
            </w:r>
            <w:r>
              <w:t xml:space="preserve">submission.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(§10),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0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18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15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. The window runs from</w:t>
      </w:r>
      <w:r>
        <w:t xml:space="preserve"> </w:t>
      </w:r>
      <w:r>
        <w:t xml:space="preserve">1 January 2005 to 30 June 2026.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</w:tbl>
          <w:bookmarkEnd w:id="17"/>
          <w:p/>
        </w:tc>
      </w:tr>
    </w:tbl>
    <w:bookmarkEnd w:id="18"/>
    <w:bookmarkStart w:id="19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19"/>
    <w:bookmarkEnd w:id="20"/>
    <w:bookmarkStart w:id="29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Of the 61 primary studies coded so far,</w:t>
      </w:r>
      <w:r>
        <w:t xml:space="preserve"> </w:t>
      </w:r>
      <w:hyperlink w:anchor="fig-taxonom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23</w:t>
      </w:r>
      <w:r>
        <w:t xml:space="preserve"> </w:t>
      </w:r>
      <w:r>
        <w:t xml:space="preserve">of 61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4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28"/>
        </w:tc>
      </w:tr>
    </w:tbl>
    <w:bookmarkEnd w:id="29"/>
    <w:bookmarkStart w:id="31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1"/>
    <w:bookmarkStart w:id="32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</w:t>
      </w:r>
      <w:r>
        <w:t xml:space="preserve">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2"/>
    <w:bookmarkStart w:id="33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sets up</w:t>
      </w:r>
      <w:r>
        <w:t xml:space="preserve"> </w:t>
      </w:r>
      <w:r>
        <w:t xml:space="preserve">a natural question for the completed review: does the metaheuristic-driven solver</w:t>
      </w:r>
      <w:r>
        <w:t xml:space="preserve"> </w:t>
      </w:r>
      <w:r>
        <w:t xml:space="preserve">in the later paper report an accuracy gain over the earlier ANN surrogate under a</w:t>
      </w:r>
      <w:r>
        <w:t xml:space="preserve"> </w:t>
      </w:r>
      <w:r>
        <w:t xml:space="preserve">comparable computational budget, and if so, of what size? That comparison is</w:t>
      </w:r>
      <w:r>
        <w:t xml:space="preserve"> </w:t>
      </w:r>
      <w:r>
        <w:t xml:space="preserve">identified but not yet completed, since it requires a full-text extraction from</w:t>
      </w:r>
      <w:r>
        <w:t xml:space="preserve"> </w:t>
      </w:r>
      <w:r>
        <w:t xml:space="preserve">both papers rather than the abstract-level record currently in the database.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3"/>
    <w:bookmarkStart w:id="34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— international roughness index, rutting,</w:t>
      </w:r>
      <w:r>
        <w:t xml:space="preserve"> </w:t>
      </w:r>
      <w:r>
        <w:t xml:space="preserve">cracking, faulting, remaining service life — is the sub-domain most heavily</w:t>
      </w:r>
      <w:r>
        <w:t xml:space="preserve"> </w:t>
      </w:r>
      <w:r>
        <w:t xml:space="preserve">dependent on the Long-Term Pavement Performance (LTPP) database in the seed corpus,</w:t>
      </w:r>
      <w:r>
        <w:t xml:space="preserve"> </w:t>
      </w:r>
      <w:r>
        <w:t xml:space="preserve">and correspondingly the sub-domain where the near-duplicate-substrate problem named</w:t>
      </w:r>
      <w:r>
        <w:t xml:space="preserve"> </w:t>
      </w:r>
      <w:r>
        <w:t xml:space="preserve">in the review methodology is most concrete rather than abstract. Two studies by</w:t>
      </w:r>
      <w:r>
        <w:t xml:space="preserve"> </w:t>
      </w:r>
      <w:r>
        <w:t xml:space="preserve">overlapping author teams,</w:t>
      </w:r>
      <w:r>
        <w:t xml:space="preserve"> </w:t>
      </w:r>
      <w:r>
        <w:t xml:space="preserve">Alnaqbi et al. (2025)</w:t>
      </w:r>
      <w:r>
        <w:t xml:space="preserve"> </w:t>
      </w:r>
      <w:r>
        <w:t xml:space="preserve">and a related 2026 gradient-boosting</w:t>
      </w:r>
      <w:r>
        <w:t xml:space="preserve"> </w:t>
      </w:r>
      <w:r>
        <w:t xml:space="preserve">variant, both draw on the same 395-observation, 33-section continuously-reinforced-</w:t>
      </w:r>
      <w:r>
        <w:t xml:space="preserve"> </w:t>
      </w:r>
      <w:r>
        <w:t xml:space="preserve">concrete-pavement LTPP substrate and both report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0.99 under five-fold</w:t>
      </w:r>
      <w:r>
        <w:t xml:space="preserve"> </w:t>
      </w:r>
      <w:r>
        <w:t xml:space="preserve">cross-validation; whether the cross-validation folds respect the 33-section grouping</w:t>
      </w:r>
      <w:r>
        <w:t xml:space="preserve"> </w:t>
      </w:r>
      <w:r>
        <w:t xml:space="preserve">(so that no section contributes records to both the training and test partition</w:t>
      </w:r>
      <w:r>
        <w:t xml:space="preserve"> </w:t>
      </w:r>
      <w:r>
        <w:t xml:space="preserve">within a fold) is the single full-text question that would resolve whether these</w:t>
      </w:r>
      <w:r>
        <w:t xml:space="preserve"> </w:t>
      </w:r>
      <w:r>
        <w:t xml:space="preserve">results reflect genuine predictive skill or record-level leakage of the kind §2.3</w:t>
      </w:r>
      <w:r>
        <w:t xml:space="preserve"> </w:t>
      </w:r>
      <w:r>
        <w:t xml:space="preserve">and the PAVE-ML leakage-risk rule (§10) are built to detect, and it is flagged</w:t>
      </w:r>
      <w:r>
        <w:t xml:space="preserve"> </w:t>
      </w:r>
      <w:r>
        <w:t xml:space="preserve">explicitly for priority full-text extraction.</w:t>
      </w:r>
    </w:p>
    <w:p>
      <w:pPr>
        <w:pStyle w:val="BodyText"/>
      </w:pPr>
      <w:r>
        <w:t xml:space="preserve">Wei et al.</w:t>
      </w:r>
      <w:r>
        <w:t xml:space="preserve"> </w:t>
      </w:r>
      <w:r>
        <w:t xml:space="preserve">(</w:t>
      </w:r>
      <w:r>
        <w:t xml:space="preserve">Wei et al.</w:t>
      </w:r>
      <w:r>
        <w:t xml:space="preserve">, 2023)</w:t>
      </w:r>
      <w:r>
        <w:t xml:space="preserve"> </w:t>
      </w:r>
      <w:r>
        <w:t xml:space="preserve">illustrate the same concern in a different form: a</w:t>
      </w:r>
      <w:r>
        <w:t xml:space="preserve"> </w:t>
      </w:r>
      <w:r>
        <w:t xml:space="preserve">tree-structured Parzen estimator tunes a CatBoost model for rigid-pavement faulting</w:t>
      </w:r>
      <w:r>
        <w:t xml:space="preserve"> </w:t>
      </w:r>
      <w:r>
        <w:t xml:space="preserve">on 160 LTPP observations across 17 candidate variables, with Boruta feature</w:t>
      </w:r>
      <w:r>
        <w:t xml:space="preserve"> </w:t>
      </w:r>
      <w:r>
        <w:t xml:space="preserve">selection applied as a preprocessing step whose position relative to the train/test</w:t>
      </w:r>
      <w:r>
        <w:t xml:space="preserve"> </w:t>
      </w:r>
      <w:r>
        <w:t xml:space="preserve">split is not established from the abstract alone — precisely the ambiguous case the</w:t>
      </w:r>
      <w:r>
        <w:t xml:space="preserve"> </w:t>
      </w:r>
      <w:r>
        <w:t xml:space="preserve">PAVE-ML leakage-risk rule (§10) codes as</w:t>
      </w:r>
      <w:r>
        <w:t xml:space="preserve"> </w:t>
      </w:r>
      <w:r>
        <w:rPr>
          <w:rStyle w:val="VerbatimChar"/>
        </w:rPr>
        <w:t xml:space="preserve">moderate</w:t>
      </w:r>
      <w:r>
        <w:t xml:space="preserve"> </w:t>
      </w:r>
      <w:r>
        <w:t xml:space="preserve">pending full-text confirmation,</w:t>
      </w:r>
      <w:r>
        <w:t xml:space="preserve"> </w:t>
      </w:r>
      <w:r>
        <w:t xml:space="preserve">rather than assumed innocent or guilty by default.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§10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34"/>
    <w:bookmarkStart w:id="35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</w:t>
      </w:r>
      <w:r>
        <w:t xml:space="preserve">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study. Sun et al.’s 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leakage, and is cited</w:t>
      </w:r>
      <w:r>
        <w:t xml:space="preserve"> </w:t>
      </w:r>
      <w:r>
        <w:t xml:space="preserve">throughout this review (§9, §10) as the type’s 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 tunnel pavement performance</w:t>
      </w:r>
      <w:r>
        <w:t xml:space="preserve"> </w:t>
      </w:r>
      <w:r>
        <w:t xml:space="preserve">within a digital-twin framework and report strong deployment integration, but</w:t>
      </w:r>
      <w:r>
        <w:t xml:space="preserve"> </w:t>
      </w:r>
      <w:r>
        <w:t xml:space="preserve">without the explicit leakage-avoidance statement that distinguishes Huang et al.’s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is the one taxonomy type with, at the time of</w:t>
      </w:r>
      <w:r>
        <w:t xml:space="preserve"> </w:t>
      </w:r>
      <w:r>
        <w:t xml:space="preserve">writing, no confirmed pavement-specific exemplar in the seed corpus, and the</w:t>
      </w:r>
      <w:r>
        <w:t xml:space="preserve"> </w:t>
      </w:r>
      <w:r>
        <w:t xml:space="preserve">absence has now survived two independent, differently worded search sweeps rather</w:t>
      </w:r>
      <w:r>
        <w:t xml:space="preserve"> </w:t>
      </w:r>
      <w:r>
        <w:t xml:space="preserve">than reflecting a single missed query — every wavelet- or VMD-based candidate</w:t>
      </w:r>
      <w:r>
        <w:t xml:space="preserve"> </w:t>
      </w:r>
      <w:r>
        <w:t xml:space="preserve">located so far belongs to an adjacent domain (bridge deflection monitoring,</w:t>
      </w:r>
      <w:r>
        <w:t xml:space="preserve"> </w:t>
      </w:r>
      <w:r>
        <w:t xml:space="preserve">energy-price forecasting) rather than to pavement engineering directly. Its absence</w:t>
      </w:r>
      <w:r>
        <w:t xml:space="preserve"> </w:t>
      </w:r>
      <w:r>
        <w:t xml:space="preserve">is reported here as a tentative finding in its own right, to be confirmed or</w:t>
      </w:r>
      <w:r>
        <w:t xml:space="preserve"> </w:t>
      </w:r>
      <w:r>
        <w:t xml:space="preserve">overturned once the completed harvest is available, rather than silently omitted</w:t>
      </w:r>
      <w:r>
        <w:t xml:space="preserve"> </w:t>
      </w:r>
      <w:r>
        <w:t xml:space="preserve">or, on the other hand, overstated on the basis of two searches.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</w:t>
      </w:r>
      <w:r>
        <w:rPr>
          <w:b/>
          <w:bCs/>
        </w:rPr>
        <w:t xml:space="preserve">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35"/>
    <w:bookmarkStart w:id="40" w:name="sec-premium"/>
    <w:p>
      <w:pPr>
        <w:pStyle w:val="Heading1"/>
      </w:pPr>
      <w:r>
        <w:t xml:space="preserve">9. The hybridisation premium</w:t>
      </w:r>
    </w:p>
    <w:bookmarkStart w:id="36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bookmarkEnd w:id="36"/>
    <w:bookmarkStart w:id="37" w:name="what-the-completed-audit-will-report"/>
    <w:p>
      <w:pPr>
        <w:pStyle w:val="Heading2"/>
      </w:pPr>
      <w:r>
        <w:t xml:space="preserve">9.2 What the completed audit will report</w:t>
      </w:r>
    </w:p>
    <w:p>
      <w:pPr>
        <w:pStyle w:val="FirstParagraph"/>
      </w:pPr>
      <w:r>
        <w:t xml:space="preserve">Over the full coded corpus, the review will report, for every study attempting an</w:t>
      </w:r>
      <w:r>
        <w:t xml:space="preserve"> </w:t>
      </w:r>
      <w:r>
        <w:t xml:space="preserve">H1 or H2 coupling: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computable at all under the definition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premium_computable</w:t>
      </w:r>
      <w:r>
        <w:t xml:space="preserve">); its value where it is; whether the search budget was stated</w:t>
      </w:r>
      <w:r>
        <w:t xml:space="preserve"> </w:t>
      </w:r>
      <w:r>
        <w:t xml:space="preserve">for both the hybrid and the baseline arm (</w:t>
      </w:r>
      <w:r>
        <w:rPr>
          <w:rStyle w:val="VerbatimChar"/>
        </w:rPr>
        <w:t xml:space="preserve">budget_parity_reported</w:t>
      </w:r>
      <w:r>
        <w:t xml:space="preserve">); and, where a</w:t>
      </w:r>
      <w:r>
        <w:t xml:space="preserve"> </w:t>
      </w:r>
      <w:r>
        <w:t xml:space="preserve">newly named optimiser is the paper’s contribution, whether it was benchmarked</w:t>
      </w:r>
      <w:r>
        <w:t xml:space="preserve"> </w:t>
      </w:r>
      <w:r>
        <w:t xml:space="preserve">against at least two established optimisers on the same problem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optimiser_novelty_claim</w:t>
      </w:r>
      <w:r>
        <w:t xml:space="preserve">). These fields are specified in full, with worked</w:t>
      </w:r>
      <w:r>
        <w:t xml:space="preserve"> </w:t>
      </w:r>
      <w:r>
        <w:t xml:space="preserve">examples, in the PAVE-ML instrument (§10) and were fixed before full-text coding</w:t>
      </w:r>
      <w:r>
        <w:t xml:space="preserve"> </w:t>
      </w:r>
      <w:r>
        <w:t xml:space="preserve">began.</w:t>
      </w:r>
    </w:p>
    <w:bookmarkEnd w:id="37"/>
    <w:bookmarkStart w:id="39" w:name="X7f25b91c7f8b674ee1023e90faae5a96e47348b"/>
    <w:p>
      <w:pPr>
        <w:pStyle w:val="Heading2"/>
      </w:pPr>
      <w:r>
        <w:t xml:space="preserve">9.3 Preliminary evidence from the seed corpus</w:t>
      </w:r>
    </w:p>
    <w:p>
      <w:pPr>
        <w:pStyle w:val="FirstParagraph"/>
      </w:pPr>
      <w:r>
        <w:t xml:space="preserve">The completed audit is not yet available; what follows is the evidence already</w:t>
      </w:r>
      <w:r>
        <w:t xml:space="preserve"> </w:t>
      </w:r>
      <w:r>
        <w:t xml:space="preserve">visible in the seed corpus, presented as motivation for the audit rather than as</w:t>
      </w:r>
      <w:r>
        <w:t xml:space="preserve"> </w:t>
      </w:r>
      <w:r>
        <w:t xml:space="preserve">its result.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every within-paper comparison in the</w:t>
      </w:r>
      <w:r>
        <w:t xml:space="preserve"> </w:t>
      </w:r>
      <w:r>
        <w:t xml:space="preserve">seed corpus close enough to a premium calculation to be informative, with every</w:t>
      </w:r>
      <w:r>
        <w:t xml:space="preserve"> </w:t>
      </w:r>
      <w:r>
        <w:t xml:space="preserve">figure copied verbatim from the source paper’s own reported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Two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five rows, only two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involve a</w:t>
      </w:r>
      <w:r>
        <w:t xml:space="preserve"> </w:t>
      </w:r>
      <w:r>
        <w:t xml:space="preserve">paper that reports enough to attempt a premium 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 includes the one</w:t>
      </w:r>
      <w:r>
        <w:t xml:space="preserve"> </w:t>
      </w:r>
      <w:r>
        <w:t xml:space="preserve">comparator — a conventionally tuned, non-hybrid version of the same LSSVM — that</w:t>
      </w:r>
      <w:r>
        <w:t xml:space="preserve"> </w:t>
      </w:r>
      <w:r>
        <w:t xml:space="preserve">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 audit is built to</w:t>
      </w:r>
      <w:r>
        <w:t xml:space="preserve"> </w:t>
      </w:r>
      <w:r>
        <w:t xml:space="preserve">quantify: the missing baseline, not a negative result, is the dominant finding so</w:t>
      </w:r>
      <w:r>
        <w:t xml:space="preserve"> </w:t>
      </w:r>
      <w:r>
        <w:t xml:space="preserve">far. Second,</w:t>
      </w:r>
      <w:r>
        <w:t xml:space="preserve"> </w:t>
      </w:r>
      <w:r>
        <w:rPr>
          <w:b/>
          <w:bCs/>
        </w:rPr>
        <w:t xml:space="preserve">where tuning parity is closest to being honoured, the hybrid or</w:t>
      </w:r>
      <w:r>
        <w:rPr>
          <w:b/>
          <w:bCs/>
        </w:rPr>
        <w:t xml:space="preserve"> </w:t>
      </w:r>
      <w:r>
        <w:rPr>
          <w:b/>
          <w:bCs/>
        </w:rPr>
        <w:t xml:space="preserve">deep-architecture advantage narrows.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</w:t>
      </w:r>
      <w:r>
        <w:t xml:space="preserve"> </w:t>
      </w:r>
      <w:r>
        <w:t xml:space="preserve">architectures individually, including deep networks, against both each other and</w:t>
      </w:r>
      <w:r>
        <w:t xml:space="preserve"> </w:t>
      </w:r>
      <w:r>
        <w:t xml:space="preserve">two established mechanistic models; the winner is a tuned bagging ensemble. Neither</w:t>
      </w:r>
      <w:r>
        <w:t xml:space="preserve"> </w:t>
      </w:r>
      <w:r>
        <w:t xml:space="preserve">a hybrid nor a deep architecture prevailed once every competitor received its own</w:t>
      </w:r>
      <w:r>
        <w:t xml:space="preserve"> </w:t>
      </w:r>
      <w:r>
        <w:t xml:space="preserve">search budget.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 positive</w:t>
      </w:r>
      <w:r>
        <w:t xml:space="preserve"> </w:t>
      </w:r>
      <w:r>
        <w:t xml:space="preserve">counter-example — a heterogeneous stacking ensemble (H5) that both reports a</w:t>
      </w:r>
      <w:r>
        <w:t xml:space="preserve"> </w:t>
      </w:r>
      <w:r>
        <w:t xml:space="preserve">credible premium over single models and states explicitly that its meta-learner was</w:t>
      </w:r>
      <w:r>
        <w:t xml:space="preserve"> </w:t>
      </w:r>
      <w:r>
        <w:t xml:space="preserve">trained on cross-validated, not in-fold, base-model predictions specifically to</w:t>
      </w:r>
      <w:r>
        <w:t xml:space="preserve"> </w:t>
      </w:r>
      <w:r>
        <w:t xml:space="preserve">avoid the leakage pathway characteristic of that hybridisation type (§4, H5). It is</w:t>
      </w:r>
      <w:r>
        <w:t xml:space="preserve"> </w:t>
      </w:r>
      <w:r>
        <w:t xml:space="preserve">cited in §10 as the positive PAVE-ML exemplar for exactly this reason.</w:t>
      </w:r>
    </w:p>
    <w:p>
      <w:pPr>
        <w:pStyle w:val="BodyText"/>
      </w:pPr>
      <w:r>
        <w:t xml:space="preserve">Neither reading should be generalised past what five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</w:t>
      </w:r>
    </w:p>
    <w:bookmarkEnd w:id="39"/>
    <w:bookmarkEnd w:id="40"/>
    <w:bookmarkStart w:id="41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PLACEHOLDER.</w:t>
      </w:r>
    </w:p>
    <w:bookmarkEnd w:id="41"/>
    <w:bookmarkStart w:id="42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</w:t>
      </w:r>
      <w:r>
        <w:t xml:space="preserve"> </w:t>
      </w:r>
      <w:r>
        <w:t xml:space="preserve">strong candidate for being decision-irrelevant by this standard; the completed</w:t>
      </w:r>
      <w:r>
        <w:t xml:space="preserve"> </w:t>
      </w:r>
      <w:r>
        <w:t xml:space="preserve">audit will report, for every study where both a premium and enough contextual</w:t>
      </w:r>
      <w:r>
        <w:t xml:space="preserve"> </w:t>
      </w:r>
      <w:r>
        <w:t xml:space="preserve">detail are available, whether the premium plausibly clears this bar or not. This</w:t>
      </w:r>
      <w:r>
        <w:t xml:space="preserve"> </w:t>
      </w:r>
      <w:r>
        <w:t xml:space="preserve">section will be completed once that judgement can be made study by study rather</w:t>
      </w:r>
      <w:r>
        <w:t xml:space="preserve"> </w:t>
      </w:r>
      <w:r>
        <w:t xml:space="preserve">than asserted in general.</w:t>
      </w:r>
    </w:p>
    <w:bookmarkEnd w:id="42"/>
    <w:bookmarkStart w:id="43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</w:p>
    <w:p>
      <w:pPr>
        <w:pStyle w:val="BodyText"/>
      </w:pPr>
      <w:r>
        <w:t xml:space="preserve">The full instrument — twenty items across five domains (data provenance,</w:t>
      </w:r>
      <w:r>
        <w:t xml:space="preserve"> </w:t>
      </w:r>
      <w:r>
        <w:t xml:space="preserve">preprocessing and partitioning, modelling and comparison, evaluation and</w:t>
      </w:r>
      <w:r>
        <w:t xml:space="preserve"> </w:t>
      </w:r>
      <w:r>
        <w:t xml:space="preserve">interpretation, and generalisation and transparency), plus four items specific to</w:t>
      </w:r>
      <w:r>
        <w:t xml:space="preserve"> </w:t>
      </w:r>
      <w:r>
        <w:t xml:space="preserve">hybrid pipelines — is reproduced in full in the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docs/03_PAVE-ML_instrument.md</w:t>
      </w:r>
      <w:r>
        <w:t xml:space="preserve">), together with the operational decision rules and</w:t>
      </w:r>
      <w:r>
        <w:t xml:space="preserve"> </w:t>
      </w:r>
      <w:r>
        <w:t xml:space="preserve">worked examples that make the coding reproducible rather than a matter of reader</w:t>
      </w:r>
      <w:r>
        <w:t xml:space="preserve"> </w:t>
      </w:r>
      <w:r>
        <w:t xml:space="preserve">judgement. 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at the time of writing, the clearest example in the seed</w:t>
      </w:r>
      <w:r>
        <w:t xml:space="preserve"> </w:t>
      </w:r>
      <w:r>
        <w:t xml:space="preserve">corpus of a study satisfying the spirit of items in this list without having been</w:t>
      </w:r>
      <w:r>
        <w:t xml:space="preserve"> </w:t>
      </w:r>
      <w:r>
        <w:t xml:space="preserve">written against it — its stacking meta-learner is trained on cross-validated,</w:t>
      </w:r>
      <w:r>
        <w:t xml:space="preserve"> </w:t>
      </w:r>
      <w:r>
        <w:t xml:space="preserve">not in-fold, predictions specifically to avoid leakage, which is exactly the</w:t>
      </w:r>
      <w:r>
        <w:t xml:space="preserve"> </w:t>
      </w:r>
      <w:r>
        <w:t xml:space="preserve">practice item 7 of the general instrument (grouped/blocked partitioning respected</w:t>
      </w:r>
      <w:r>
        <w:t xml:space="preserve"> </w:t>
      </w:r>
      <w:r>
        <w:t xml:space="preserve">by all fitted preprocessing) is written to detect the absence of.</w:t>
      </w:r>
    </w:p>
    <w:p>
      <w:pPr>
        <w:pStyle w:val="BodyText"/>
      </w:pPr>
      <w:r>
        <w:t xml:space="preserve">The reliability of the instrument itself will be reported, not assumed: a random</w:t>
      </w:r>
      <w:r>
        <w:t xml:space="preserve"> </w:t>
      </w:r>
      <w:r>
        <w:t xml:space="preserve">15% of the fully coded corpus will be independently double-coded,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reported per field, and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will have its</w:t>
      </w:r>
      <w:r>
        <w:t xml:space="preserve"> </w:t>
      </w:r>
      <w:r>
        <w:t xml:space="preserve">decision rule rewritten and be recoded in full rather than reported with a caveat.</w:t>
      </w:r>
      <w:r>
        <w:t xml:space="preserve"> </w:t>
      </w:r>
      <w:r>
        <w:t xml:space="preserve">This procedure, and its result, are reported in full in the completed manuscript.</w:t>
      </w:r>
    </w:p>
    <w:bookmarkEnd w:id="43"/>
    <w:bookmarkStart w:id="44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seed corpus and the taxonomy built from it are sufficient to state a research</w:t>
      </w:r>
      <w:r>
        <w:t xml:space="preserve"> </w:t>
      </w:r>
      <w:r>
        <w:t xml:space="preserve">agenda now, even though the systematic audit that will refine it is not yet</w:t>
      </w:r>
      <w:r>
        <w:t xml:space="preserve"> </w:t>
      </w:r>
      <w:r>
        <w:t xml:space="preserve">complete. Ten directions follow, each stated as a testable question paired with the</w:t>
      </w:r>
      <w:r>
        <w:t xml:space="preserve"> </w:t>
      </w:r>
      <w:r>
        <w:t xml:space="preserve">data and method that would settle 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baseline.</w:t>
      </w:r>
      <w:r>
        <w:t xml:space="preserve"> </w:t>
      </w:r>
      <w:r>
        <w:t xml:space="preserve">For every H1/H2 study reporting a hybrid model,</w:t>
      </w:r>
      <w:r>
        <w:t xml:space="preserve"> </w:t>
      </w:r>
      <w:r>
        <w:t xml:space="preserve">does the paper also report the same base learner tuned conventionally, on the</w:t>
      </w:r>
      <w:r>
        <w:t xml:space="preserve"> </w:t>
      </w:r>
      <w:r>
        <w:t xml:space="preserve">same partition and metric, under a comparable search budget? §9’s preliminary</w:t>
      </w:r>
      <w:r>
        <w:t xml:space="preserve"> </w:t>
      </w:r>
      <w:r>
        <w:t xml:space="preserve">evidence suggests the answer is usually no; the completed audit will report how</w:t>
      </w:r>
      <w:r>
        <w:t xml:space="preserve"> </w:t>
      </w:r>
      <w:r>
        <w:t xml:space="preserve">often, across the full corpus, not just the five within-paper cases examined</w:t>
      </w:r>
      <w:r>
        <w:t xml:space="preserve"> </w:t>
      </w:r>
      <w:r>
        <w:t xml:space="preserve">so far.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LTPP-derived studies.</w:t>
      </w:r>
      <w:r>
        <w:t xml:space="preserve"> </w:t>
      </w:r>
      <w:r>
        <w:t xml:space="preserve">Several</w:t>
      </w:r>
      <w:r>
        <w:t xml:space="preserve"> </w:t>
      </w:r>
      <w:r>
        <w:t xml:space="preserve">performance-prediction studies share overlapping LTPP substrates (§7). A</w:t>
      </w:r>
      <w:r>
        <w:t xml:space="preserve"> </w:t>
      </w:r>
      <w:r>
        <w:t xml:space="preserve">systematic re-derivation, from the LTPP database directly, of whether published</w:t>
      </w:r>
      <w:r>
        <w:t xml:space="preserve"> </w:t>
      </w:r>
      <w:r>
        <w:t xml:space="preserve">cross-validation folds respect section-level grouping would settle a question</w:t>
      </w:r>
      <w:r>
        <w:t xml:space="preserve"> </w:t>
      </w:r>
      <w:r>
        <w:t xml:space="preserve">the published papers’ abstracts cannot.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gap.</w:t>
      </w:r>
      <w:r>
        <w:t xml:space="preserve"> </w:t>
      </w:r>
      <w:r>
        <w:t xml:space="preserve">No pavement-specific decomposition-then-learn (H6) study was</w:t>
      </w:r>
      <w:r>
        <w:t xml:space="preserve"> </w:t>
      </w:r>
      <w:r>
        <w:t xml:space="preserve">located in the seed corpus (§8). Is this a genuine absence in the pavement</w:t>
      </w:r>
      <w:r>
        <w:t xml:space="preserve"> </w:t>
      </w:r>
      <w:r>
        <w:t xml:space="preserve">literature, or an artefact of the search terms used so far? The completed</w:t>
      </w:r>
      <w:r>
        <w:t xml:space="preserve"> </w:t>
      </w:r>
      <w:r>
        <w:t xml:space="preserve">harvest, with its wider algorithm-name coverage, will distinguish the two.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beyond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is</w:t>
      </w:r>
      <w:r>
        <w:t xml:space="preserve"> </w:t>
      </w:r>
      <w:r>
        <w:t xml:space="preserve">presently the seed corpus’s only clear H3 case. Does the completed harvest find</w:t>
      </w:r>
      <w:r>
        <w:t xml:space="preserve"> </w:t>
      </w:r>
      <w:r>
        <w:t xml:space="preserve">others, and if genuinely few exist, why has physics-constrained learning been</w:t>
      </w:r>
      <w:r>
        <w:t xml:space="preserve"> </w:t>
      </w:r>
      <w:r>
        <w:t xml:space="preserve">adopted so much more slowly in pavement engineering than in adjacent fields</w:t>
      </w:r>
      <w:r>
        <w:t xml:space="preserve"> </w:t>
      </w:r>
      <w:r>
        <w:t xml:space="preserve">such as structural health monitoring?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44"/>
    <w:bookmarkStart w:id="45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Four conclusions follow from the evidence assembled so far.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is offered as a</w:t>
      </w:r>
      <w:r>
        <w:t xml:space="preserve"> </w:t>
      </w:r>
      <w:r>
        <w:t xml:space="preserve">partial remedy, and the completed manuscript will report, from the finished</w:t>
      </w:r>
      <w:r>
        <w:t xml:space="preserve"> </w:t>
      </w:r>
      <w:r>
        <w:t xml:space="preserve">harvest, what fraction of the eligible literature a label-only search would have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(§10)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the completed audit is designed to test.</w:t>
      </w:r>
    </w:p>
    <w:bookmarkEnd w:id="45"/>
    <w:bookmarkStart w:id="46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46"/>
    <w:bookmarkStart w:id="47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47"/>
    <w:bookmarkStart w:id="4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48"/>
    <w:bookmarkStart w:id="112" w:name="references"/>
    <w:p>
      <w:pPr>
        <w:pStyle w:val="Heading1"/>
      </w:pPr>
      <w:r>
        <w:t xml:space="preserve">References</w:t>
      </w:r>
    </w:p>
    <w:bookmarkStart w:id="111" w:name="refs"/>
    <w:bookmarkStart w:id="50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49">
        <w:r>
          <w:rPr>
            <w:rStyle w:val="Hyperlink"/>
          </w:rPr>
          <w:t xml:space="preserve">https://doi.org/10.1109/access.2022.3196660</w:t>
        </w:r>
      </w:hyperlink>
    </w:p>
    <w:bookmarkEnd w:id="50"/>
    <w:bookmarkStart w:id="52" w:name="ref-Alnaqbi2025learning"/>
    <w:p>
      <w:pPr>
        <w:pStyle w:val="Bibliography"/>
      </w:pPr>
      <w:r>
        <w:t xml:space="preserve">Alnaqbi, A., Zeiada, W., Al-Khateeb, G.G., 2025.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51">
        <w:r>
          <w:rPr>
            <w:rStyle w:val="Hyperlink"/>
          </w:rPr>
          <w:t xml:space="preserve">https://doi.org/10.1186/s44147-025-00706-9</w:t>
        </w:r>
      </w:hyperlink>
    </w:p>
    <w:bookmarkEnd w:id="52"/>
    <w:bookmarkStart w:id="54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53">
        <w:r>
          <w:rPr>
            <w:rStyle w:val="Hyperlink"/>
          </w:rPr>
          <w:t xml:space="preserve">https://doi.org/10.32604/cmc.2023.042183</w:t>
        </w:r>
      </w:hyperlink>
    </w:p>
    <w:bookmarkEnd w:id="54"/>
    <w:bookmarkStart w:id="56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55">
        <w:r>
          <w:rPr>
            <w:rStyle w:val="Hyperlink"/>
          </w:rPr>
          <w:t xml:space="preserve">https://doi.org/10.1038/s41598-022-17429-z</w:t>
        </w:r>
      </w:hyperlink>
    </w:p>
    <w:bookmarkEnd w:id="56"/>
    <w:bookmarkStart w:id="58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57">
        <w:r>
          <w:rPr>
            <w:rStyle w:val="Hyperlink"/>
          </w:rPr>
          <w:t xml:space="preserve">https://doi.org/10.1109/access.2020.2966881</w:t>
        </w:r>
      </w:hyperlink>
    </w:p>
    <w:bookmarkEnd w:id="58"/>
    <w:bookmarkStart w:id="60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59">
        <w:r>
          <w:rPr>
            <w:rStyle w:val="Hyperlink"/>
          </w:rPr>
          <w:t xml:space="preserve">https://doi.org/10.1186/s43065-023-00082-9</w:t>
        </w:r>
      </w:hyperlink>
    </w:p>
    <w:bookmarkEnd w:id="60"/>
    <w:bookmarkStart w:id="62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61">
        <w:r>
          <w:rPr>
            <w:rStyle w:val="Hyperlink"/>
          </w:rPr>
          <w:t xml:space="preserve">https://doi.org/10.1139/cjce-2017-0132</w:t>
        </w:r>
      </w:hyperlink>
    </w:p>
    <w:bookmarkEnd w:id="62"/>
    <w:bookmarkStart w:id="64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63">
        <w:r>
          <w:rPr>
            <w:rStyle w:val="Hyperlink"/>
          </w:rPr>
          <w:t xml:space="preserve">https://doi.org/10.1109/access.2020.2991968</w:t>
        </w:r>
      </w:hyperlink>
    </w:p>
    <w:bookmarkEnd w:id="64"/>
    <w:bookmarkStart w:id="66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65">
        <w:r>
          <w:rPr>
            <w:rStyle w:val="Hyperlink"/>
          </w:rPr>
          <w:t xml:space="preserve">https://doi.org/10.3390/infrastructures11040127</w:t>
        </w:r>
      </w:hyperlink>
    </w:p>
    <w:bookmarkEnd w:id="66"/>
    <w:bookmarkStart w:id="68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67">
        <w:r>
          <w:rPr>
            <w:rStyle w:val="Hyperlink"/>
          </w:rPr>
          <w:t xml:space="preserve">https://doi.org/10.1007/s41062-020-00312-z</w:t>
        </w:r>
      </w:hyperlink>
    </w:p>
    <w:bookmarkEnd w:id="68"/>
    <w:bookmarkStart w:id="70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69">
        <w:r>
          <w:rPr>
            <w:rStyle w:val="Hyperlink"/>
          </w:rPr>
          <w:t xml:space="preserve">https://doi.org/10.1016/j.conbuildmat.2025.143050</w:t>
        </w:r>
      </w:hyperlink>
    </w:p>
    <w:bookmarkEnd w:id="70"/>
    <w:bookmarkStart w:id="72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71">
        <w:r>
          <w:rPr>
            <w:rStyle w:val="Hyperlink"/>
          </w:rPr>
          <w:t xml:space="preserve">https://doi.org/10.1038/s41598-024-61313-x</w:t>
        </w:r>
      </w:hyperlink>
    </w:p>
    <w:bookmarkEnd w:id="72"/>
    <w:bookmarkStart w:id="74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73">
        <w:r>
          <w:rPr>
            <w:rStyle w:val="Hyperlink"/>
          </w:rPr>
          <w:t xml:space="preserve">https://doi.org/10.1016/j.sandf.2020.02.010</w:t>
        </w:r>
      </w:hyperlink>
    </w:p>
    <w:bookmarkEnd w:id="74"/>
    <w:bookmarkStart w:id="76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75">
        <w:r>
          <w:rPr>
            <w:rStyle w:val="Hyperlink"/>
          </w:rPr>
          <w:t xml:space="preserve">https://doi.org/10.3390/data3030028</w:t>
        </w:r>
      </w:hyperlink>
    </w:p>
    <w:bookmarkEnd w:id="76"/>
    <w:bookmarkStart w:id="78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77">
        <w:r>
          <w:rPr>
            <w:rStyle w:val="Hyperlink"/>
          </w:rPr>
          <w:t xml:space="preserve">https://doi.org/10.1111/mice.70102</w:t>
        </w:r>
      </w:hyperlink>
    </w:p>
    <w:bookmarkEnd w:id="78"/>
    <w:bookmarkStart w:id="80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79">
        <w:r>
          <w:rPr>
            <w:rStyle w:val="Hyperlink"/>
          </w:rPr>
          <w:t xml:space="preserve">https://doi.org/10.1016/j.cscm.2022.e00991</w:t>
        </w:r>
      </w:hyperlink>
    </w:p>
    <w:bookmarkEnd w:id="80"/>
    <w:bookmarkStart w:id="82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81">
        <w:r>
          <w:rPr>
            <w:rStyle w:val="Hyperlink"/>
          </w:rPr>
          <w:t xml:space="preserve">https://doi.org/10.3390/infrastructures6020028</w:t>
        </w:r>
      </w:hyperlink>
    </w:p>
    <w:bookmarkEnd w:id="82"/>
    <w:bookmarkStart w:id="84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83">
        <w:r>
          <w:rPr>
            <w:rStyle w:val="Hyperlink"/>
          </w:rPr>
          <w:t xml:space="preserve">https://doi.org/10.1016/j.eng.2020.07.030</w:t>
        </w:r>
      </w:hyperlink>
    </w:p>
    <w:bookmarkEnd w:id="84"/>
    <w:bookmarkStart w:id="86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85">
        <w:r>
          <w:rPr>
            <w:rStyle w:val="Hyperlink"/>
          </w:rPr>
          <w:t xml:space="preserve">https://doi.org/10.3390/ma18122913</w:t>
        </w:r>
      </w:hyperlink>
    </w:p>
    <w:bookmarkEnd w:id="86"/>
    <w:bookmarkStart w:id="88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87">
        <w:r>
          <w:rPr>
            <w:rStyle w:val="Hyperlink"/>
          </w:rPr>
          <w:t xml:space="preserve">https://doi.org/10.3390/asi9070133</w:t>
        </w:r>
      </w:hyperlink>
    </w:p>
    <w:bookmarkEnd w:id="88"/>
    <w:bookmarkStart w:id="90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89">
        <w:r>
          <w:rPr>
            <w:rStyle w:val="Hyperlink"/>
          </w:rPr>
          <w:t xml:space="preserve">https://doi.org/10.3390/app9163221</w:t>
        </w:r>
      </w:hyperlink>
    </w:p>
    <w:bookmarkEnd w:id="90"/>
    <w:bookmarkStart w:id="92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91">
        <w:r>
          <w:rPr>
            <w:rStyle w:val="Hyperlink"/>
          </w:rPr>
          <w:t xml:space="preserve">https://doi.org/10.48550/arxiv.2112.12589</w:t>
        </w:r>
      </w:hyperlink>
    </w:p>
    <w:bookmarkEnd w:id="92"/>
    <w:bookmarkStart w:id="94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93">
        <w:r>
          <w:rPr>
            <w:rStyle w:val="Hyperlink"/>
          </w:rPr>
          <w:t xml:space="preserve">https://doi.org/10.1007/s43995-026-00294-6</w:t>
        </w:r>
      </w:hyperlink>
    </w:p>
    <w:bookmarkEnd w:id="94"/>
    <w:bookmarkStart w:id="96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95">
        <w:r>
          <w:rPr>
            <w:rStyle w:val="Hyperlink"/>
          </w:rPr>
          <w:t xml:space="preserve">https://doi.org/10.1111/mice.70169</w:t>
        </w:r>
      </w:hyperlink>
    </w:p>
    <w:bookmarkEnd w:id="96"/>
    <w:bookmarkStart w:id="98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97">
        <w:r>
          <w:rPr>
            <w:rStyle w:val="Hyperlink"/>
          </w:rPr>
          <w:t xml:space="preserve">https://doi.org/10.1177/03611981241245991</w:t>
        </w:r>
      </w:hyperlink>
    </w:p>
    <w:bookmarkEnd w:id="98"/>
    <w:bookmarkStart w:id="100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99">
        <w:r>
          <w:rPr>
            <w:rStyle w:val="Hyperlink"/>
          </w:rPr>
          <w:t xml:space="preserve">https://doi.org/10.3390/s23073772</w:t>
        </w:r>
      </w:hyperlink>
    </w:p>
    <w:bookmarkEnd w:id="100"/>
    <w:bookmarkStart w:id="102" w:name="ref-Wei2023optimizing"/>
    <w:p>
      <w:pPr>
        <w:pStyle w:val="Bibliography"/>
      </w:pPr>
      <w:r>
        <w:t xml:space="preserve">Wei, X., Wang, C., Liu, J., others</w:t>
      </w:r>
      <w:r>
        <w:t xml:space="preserve">, 2023. Optimizing faulting prediction for rigid pavements using a hybrid SHAP-TPE-CatBoost model. Applied Sciences.</w:t>
      </w:r>
      <w:r>
        <w:t xml:space="preserve"> </w:t>
      </w:r>
      <w:hyperlink r:id="rId101">
        <w:r>
          <w:rPr>
            <w:rStyle w:val="Hyperlink"/>
          </w:rPr>
          <w:t xml:space="preserve">https://doi.org/10.3390/app132312862</w:t>
        </w:r>
      </w:hyperlink>
    </w:p>
    <w:bookmarkEnd w:id="102"/>
    <w:bookmarkStart w:id="104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03">
        <w:r>
          <w:rPr>
            <w:rStyle w:val="Hyperlink"/>
          </w:rPr>
          <w:t xml:space="preserve">https://doi.org/10.1016/j.jtte.2021.03.005</w:t>
        </w:r>
      </w:hyperlink>
    </w:p>
    <w:bookmarkEnd w:id="104"/>
    <w:bookmarkStart w:id="106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05">
        <w:r>
          <w:rPr>
            <w:rStyle w:val="Hyperlink"/>
          </w:rPr>
          <w:t xml:space="preserve">https://doi.org/10.1109/tits.2022.3161689</w:t>
        </w:r>
      </w:hyperlink>
    </w:p>
    <w:bookmarkEnd w:id="106"/>
    <w:bookmarkStart w:id="108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07">
        <w:r>
          <w:rPr>
            <w:rStyle w:val="Hyperlink"/>
          </w:rPr>
          <w:t xml:space="preserve">https://doi.org/10.1155/2020/8824135</w:t>
        </w:r>
      </w:hyperlink>
    </w:p>
    <w:bookmarkEnd w:id="108"/>
    <w:bookmarkStart w:id="110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09">
        <w:r>
          <w:rPr>
            <w:rStyle w:val="Hyperlink"/>
          </w:rPr>
          <w:t xml:space="preserve">https://doi.org/10.28991/cej-2025-011-01-06</w:t>
        </w:r>
      </w:hyperlink>
    </w:p>
    <w:bookmarkEnd w:id="110"/>
    <w:bookmarkEnd w:id="111"/>
    <w:bookmarkEnd w:id="1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67" Target="https://doi.org/10.1007/s41062-020-00312-z" TargetMode="External" /><Relationship Type="http://schemas.openxmlformats.org/officeDocument/2006/relationships/hyperlink" Id="rId93" Target="https://doi.org/10.1007/s43995-026-00294-6" TargetMode="External" /><Relationship Type="http://schemas.openxmlformats.org/officeDocument/2006/relationships/hyperlink" Id="rId69" Target="https://doi.org/10.1016/j.conbuildmat.2025.143050" TargetMode="External" /><Relationship Type="http://schemas.openxmlformats.org/officeDocument/2006/relationships/hyperlink" Id="rId79" Target="https://doi.org/10.1016/j.cscm.2022.e00991" TargetMode="External" /><Relationship Type="http://schemas.openxmlformats.org/officeDocument/2006/relationships/hyperlink" Id="rId83" Target="https://doi.org/10.1016/j.eng.2020.07.030" TargetMode="External" /><Relationship Type="http://schemas.openxmlformats.org/officeDocument/2006/relationships/hyperlink" Id="rId103" Target="https://doi.org/10.1016/j.jtte.2021.03.005" TargetMode="External" /><Relationship Type="http://schemas.openxmlformats.org/officeDocument/2006/relationships/hyperlink" Id="rId73" Target="https://doi.org/10.1016/j.sandf.2020.02.010" TargetMode="External" /><Relationship Type="http://schemas.openxmlformats.org/officeDocument/2006/relationships/hyperlink" Id="rId55" Target="https://doi.org/10.1038/s41598-022-17429-z" TargetMode="External" /><Relationship Type="http://schemas.openxmlformats.org/officeDocument/2006/relationships/hyperlink" Id="rId71" Target="https://doi.org/10.1038/s41598-024-61313-x" TargetMode="External" /><Relationship Type="http://schemas.openxmlformats.org/officeDocument/2006/relationships/hyperlink" Id="rId57" Target="https://doi.org/10.1109/access.2020.2966881" TargetMode="External" /><Relationship Type="http://schemas.openxmlformats.org/officeDocument/2006/relationships/hyperlink" Id="rId63" Target="https://doi.org/10.1109/access.2020.2991968" TargetMode="External" /><Relationship Type="http://schemas.openxmlformats.org/officeDocument/2006/relationships/hyperlink" Id="rId49" Target="https://doi.org/10.1109/access.2022.3196660" TargetMode="External" /><Relationship Type="http://schemas.openxmlformats.org/officeDocument/2006/relationships/hyperlink" Id="rId105" Target="https://doi.org/10.1109/tits.2022.3161689" TargetMode="External" /><Relationship Type="http://schemas.openxmlformats.org/officeDocument/2006/relationships/hyperlink" Id="rId77" Target="https://doi.org/10.1111/mice.70102" TargetMode="External" /><Relationship Type="http://schemas.openxmlformats.org/officeDocument/2006/relationships/hyperlink" Id="rId95" Target="https://doi.org/10.1111/mice.70169" TargetMode="External" /><Relationship Type="http://schemas.openxmlformats.org/officeDocument/2006/relationships/hyperlink" Id="rId61" Target="https://doi.org/10.1139/cjce-2017-0132" TargetMode="External" /><Relationship Type="http://schemas.openxmlformats.org/officeDocument/2006/relationships/hyperlink" Id="rId107" Target="https://doi.org/10.1155/2020/8824135" TargetMode="External" /><Relationship Type="http://schemas.openxmlformats.org/officeDocument/2006/relationships/hyperlink" Id="rId97" Target="https://doi.org/10.1177/03611981241245991" TargetMode="External" /><Relationship Type="http://schemas.openxmlformats.org/officeDocument/2006/relationships/hyperlink" Id="rId59" Target="https://doi.org/10.1186/s43065-023-00082-9" TargetMode="External" /><Relationship Type="http://schemas.openxmlformats.org/officeDocument/2006/relationships/hyperlink" Id="rId51" Target="https://doi.org/10.1186/s44147-025-00706-9" TargetMode="External" /><Relationship Type="http://schemas.openxmlformats.org/officeDocument/2006/relationships/hyperlink" Id="rId109" Target="https://doi.org/10.28991/cej-2025-011-01-06" TargetMode="External" /><Relationship Type="http://schemas.openxmlformats.org/officeDocument/2006/relationships/hyperlink" Id="rId53" Target="https://doi.org/10.32604/cmc.2023.042183" TargetMode="External" /><Relationship Type="http://schemas.openxmlformats.org/officeDocument/2006/relationships/hyperlink" Id="rId101" Target="https://doi.org/10.3390/app132312862" TargetMode="External" /><Relationship Type="http://schemas.openxmlformats.org/officeDocument/2006/relationships/hyperlink" Id="rId89" Target="https://doi.org/10.3390/app9163221" TargetMode="External" /><Relationship Type="http://schemas.openxmlformats.org/officeDocument/2006/relationships/hyperlink" Id="rId87" Target="https://doi.org/10.3390/asi9070133" TargetMode="External" /><Relationship Type="http://schemas.openxmlformats.org/officeDocument/2006/relationships/hyperlink" Id="rId75" Target="https://doi.org/10.3390/data3030028" TargetMode="External" /><Relationship Type="http://schemas.openxmlformats.org/officeDocument/2006/relationships/hyperlink" Id="rId65" Target="https://doi.org/10.3390/infrastructures11040127" TargetMode="External" /><Relationship Type="http://schemas.openxmlformats.org/officeDocument/2006/relationships/hyperlink" Id="rId81" Target="https://doi.org/10.3390/infrastructures6020028" TargetMode="External" /><Relationship Type="http://schemas.openxmlformats.org/officeDocument/2006/relationships/hyperlink" Id="rId85" Target="https://doi.org/10.3390/ma18122913" TargetMode="External" /><Relationship Type="http://schemas.openxmlformats.org/officeDocument/2006/relationships/hyperlink" Id="rId99" Target="https://doi.org/10.3390/s23073772" TargetMode="External" /><Relationship Type="http://schemas.openxmlformats.org/officeDocument/2006/relationships/hyperlink" Id="rId91" Target="https://doi.org/10.48550/arxiv.2112.125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s41062-020-00312-z" TargetMode="External" /><Relationship Type="http://schemas.openxmlformats.org/officeDocument/2006/relationships/hyperlink" Id="rId93" Target="https://doi.org/10.1007/s43995-026-00294-6" TargetMode="External" /><Relationship Type="http://schemas.openxmlformats.org/officeDocument/2006/relationships/hyperlink" Id="rId69" Target="https://doi.org/10.1016/j.conbuildmat.2025.143050" TargetMode="External" /><Relationship Type="http://schemas.openxmlformats.org/officeDocument/2006/relationships/hyperlink" Id="rId79" Target="https://doi.org/10.1016/j.cscm.2022.e00991" TargetMode="External" /><Relationship Type="http://schemas.openxmlformats.org/officeDocument/2006/relationships/hyperlink" Id="rId83" Target="https://doi.org/10.1016/j.eng.2020.07.030" TargetMode="External" /><Relationship Type="http://schemas.openxmlformats.org/officeDocument/2006/relationships/hyperlink" Id="rId103" Target="https://doi.org/10.1016/j.jtte.2021.03.005" TargetMode="External" /><Relationship Type="http://schemas.openxmlformats.org/officeDocument/2006/relationships/hyperlink" Id="rId73" Target="https://doi.org/10.1016/j.sandf.2020.02.010" TargetMode="External" /><Relationship Type="http://schemas.openxmlformats.org/officeDocument/2006/relationships/hyperlink" Id="rId55" Target="https://doi.org/10.1038/s41598-022-17429-z" TargetMode="External" /><Relationship Type="http://schemas.openxmlformats.org/officeDocument/2006/relationships/hyperlink" Id="rId71" Target="https://doi.org/10.1038/s41598-024-61313-x" TargetMode="External" /><Relationship Type="http://schemas.openxmlformats.org/officeDocument/2006/relationships/hyperlink" Id="rId57" Target="https://doi.org/10.1109/access.2020.2966881" TargetMode="External" /><Relationship Type="http://schemas.openxmlformats.org/officeDocument/2006/relationships/hyperlink" Id="rId63" Target="https://doi.org/10.1109/access.2020.2991968" TargetMode="External" /><Relationship Type="http://schemas.openxmlformats.org/officeDocument/2006/relationships/hyperlink" Id="rId49" Target="https://doi.org/10.1109/access.2022.3196660" TargetMode="External" /><Relationship Type="http://schemas.openxmlformats.org/officeDocument/2006/relationships/hyperlink" Id="rId105" Target="https://doi.org/10.1109/tits.2022.3161689" TargetMode="External" /><Relationship Type="http://schemas.openxmlformats.org/officeDocument/2006/relationships/hyperlink" Id="rId77" Target="https://doi.org/10.1111/mice.70102" TargetMode="External" /><Relationship Type="http://schemas.openxmlformats.org/officeDocument/2006/relationships/hyperlink" Id="rId95" Target="https://doi.org/10.1111/mice.70169" TargetMode="External" /><Relationship Type="http://schemas.openxmlformats.org/officeDocument/2006/relationships/hyperlink" Id="rId61" Target="https://doi.org/10.1139/cjce-2017-0132" TargetMode="External" /><Relationship Type="http://schemas.openxmlformats.org/officeDocument/2006/relationships/hyperlink" Id="rId107" Target="https://doi.org/10.1155/2020/8824135" TargetMode="External" /><Relationship Type="http://schemas.openxmlformats.org/officeDocument/2006/relationships/hyperlink" Id="rId97" Target="https://doi.org/10.1177/03611981241245991" TargetMode="External" /><Relationship Type="http://schemas.openxmlformats.org/officeDocument/2006/relationships/hyperlink" Id="rId59" Target="https://doi.org/10.1186/s43065-023-00082-9" TargetMode="External" /><Relationship Type="http://schemas.openxmlformats.org/officeDocument/2006/relationships/hyperlink" Id="rId51" Target="https://doi.org/10.1186/s44147-025-00706-9" TargetMode="External" /><Relationship Type="http://schemas.openxmlformats.org/officeDocument/2006/relationships/hyperlink" Id="rId109" Target="https://doi.org/10.28991/cej-2025-011-01-06" TargetMode="External" /><Relationship Type="http://schemas.openxmlformats.org/officeDocument/2006/relationships/hyperlink" Id="rId53" Target="https://doi.org/10.32604/cmc.2023.042183" TargetMode="External" /><Relationship Type="http://schemas.openxmlformats.org/officeDocument/2006/relationships/hyperlink" Id="rId101" Target="https://doi.org/10.3390/app132312862" TargetMode="External" /><Relationship Type="http://schemas.openxmlformats.org/officeDocument/2006/relationships/hyperlink" Id="rId89" Target="https://doi.org/10.3390/app9163221" TargetMode="External" /><Relationship Type="http://schemas.openxmlformats.org/officeDocument/2006/relationships/hyperlink" Id="rId87" Target="https://doi.org/10.3390/asi9070133" TargetMode="External" /><Relationship Type="http://schemas.openxmlformats.org/officeDocument/2006/relationships/hyperlink" Id="rId75" Target="https://doi.org/10.3390/data3030028" TargetMode="External" /><Relationship Type="http://schemas.openxmlformats.org/officeDocument/2006/relationships/hyperlink" Id="rId65" Target="https://doi.org/10.3390/infrastructures11040127" TargetMode="External" /><Relationship Type="http://schemas.openxmlformats.org/officeDocument/2006/relationships/hyperlink" Id="rId81" Target="https://doi.org/10.3390/infrastructures6020028" TargetMode="External" /><Relationship Type="http://schemas.openxmlformats.org/officeDocument/2006/relationships/hyperlink" Id="rId85" Target="https://doi.org/10.3390/ma18122913" TargetMode="External" /><Relationship Type="http://schemas.openxmlformats.org/officeDocument/2006/relationships/hyperlink" Id="rId99" Target="https://doi.org/10.3390/s23073772" TargetMode="External" /><Relationship Type="http://schemas.openxmlformats.org/officeDocument/2006/relationships/hyperlink" Id="rId91" Target="https://doi.org/10.48550/arxiv.2112.125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2026-08-09T04:40:21Z</dcterms:created>
  <dcterms:modified xsi:type="dcterms:W3CDTF">2026-08-09T04:40:21Z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2026-08-09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