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§12.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§12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(§12),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75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75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Duan</w:t>
      </w:r>
      <w:r>
        <w:t xml:space="preserve"> </w:t>
      </w:r>
      <w:r>
        <w:t xml:space="preserve">(Duan, 2024)</w:t>
      </w:r>
      <w:r>
        <w:t xml:space="preserve"> </w:t>
      </w:r>
      <w:r>
        <w:t xml:space="preserve">supplies a genuinely mixed case worth reading in full</w:t>
      </w:r>
      <w:r>
        <w:t xml:space="preserve"> </w:t>
      </w:r>
      <w:r>
        <w:t xml:space="preserve">rather than reducing to a single verdict, because full-text verification surfaces</w:t>
      </w:r>
      <w:r>
        <w:t xml:space="preserve"> </w:t>
      </w:r>
      <w:r>
        <w:t xml:space="preserve">both a real strength and a real gap in the same paper. On the positive side, the</w:t>
      </w:r>
      <w:r>
        <w:t xml:space="preserve"> </w:t>
      </w:r>
      <w:r>
        <w:t xml:space="preserve">metaheuristic-tuned BKA-XGBoost model (H1) reports its own search budget</w:t>
      </w:r>
      <w:r>
        <w:t xml:space="preserve"> </w:t>
      </w:r>
      <w:r>
        <w:t xml:space="preserve">explicitly (population 10, 20 iterations) and, unusually for this corpus, checks</w:t>
      </w:r>
      <w:r>
        <w:t xml:space="preserve"> </w:t>
      </w:r>
      <w:r>
        <w:t xml:space="preserve">its own reliability by reassembling the dataset ten times and reporting</w:t>
      </w:r>
      <w:r>
        <w:t xml:space="preserve"> </w:t>
      </w:r>
      <w:r>
        <w:t xml:space="preserve">performance across all ten combinations rather than a single best run — exactly</w:t>
      </w:r>
      <w:r>
        <w:t xml:space="preserve"> </w:t>
      </w:r>
      <w:r>
        <w:t xml:space="preserve">the repeated-run practice PAVE-ML item 12c asks for. The paper also states</w:t>
      </w:r>
      <w:r>
        <w:t xml:space="preserve"> </w:t>
      </w:r>
      <w:r>
        <w:t xml:space="preserve">outright, discussing four comparator models drawn from the literature, that</w:t>
      </w:r>
      <w:r>
        <w:t xml:space="preserve"> </w:t>
      </w:r>
      <w:r>
        <w:t xml:space="preserve">“direct performance comparisons are unconvincing”</w:t>
      </w:r>
      <w:r>
        <w:t xml:space="preserve"> </w:t>
      </w:r>
      <w:r>
        <w:t xml:space="preserve">because those models were</w:t>
      </w:r>
      <w:r>
        <w:t xml:space="preserve"> </w:t>
      </w:r>
      <w:r>
        <w:t xml:space="preserve">fitted on different datasets — an author-acknowledged version of the</w:t>
      </w:r>
      <w:r>
        <w:t xml:space="preserve"> </w:t>
      </w:r>
      <w:r>
        <w:t xml:space="preserve">cross-study comparability problem this review is built around, and one of the</w:t>
      </w:r>
      <w:r>
        <w:t xml:space="preserve"> </w:t>
      </w:r>
      <w:r>
        <w:t xml:space="preserve">only such acknowledgements found in the corpus so far. On the other side of the</w:t>
      </w:r>
      <w:r>
        <w:t xml:space="preserve"> </w:t>
      </w:r>
      <w:r>
        <w:t xml:space="preserve">same paper: the nine within-paper comparator models are given listed parameter</w:t>
      </w:r>
      <w:r>
        <w:t xml:space="preserve"> </w:t>
      </w:r>
      <w:r>
        <w:t xml:space="preserve">settings but no stated search budget, so whether they received tuning effort</w:t>
      </w:r>
      <w:r>
        <w:t xml:space="preserve"> </w:t>
      </w:r>
      <w:r>
        <w:t xml:space="preserve">comparable to BKA-XGBoost’s own cannot be confirmed from the text — and no</w:t>
      </w:r>
      <w:r>
        <w:t xml:space="preserve"> </w:t>
      </w:r>
      <w:r>
        <w:t xml:space="preserve">mechanistic resistance-modulus model is included as a comparator, so</w:t>
      </w:r>
      <w:r>
        <w:t xml:space="preserve"> </w:t>
      </w:r>
      <w:r>
        <w:t xml:space="preserve">baseline_strength codes moderate rather than strong despite the nine-model</w:t>
      </w:r>
      <w:r>
        <w:t xml:space="preserve"> </w:t>
      </w:r>
      <w:r>
        <w:t xml:space="preserve">comparison looking exhaustive at a glance. The lesson is the same one §11 draws</w:t>
      </w:r>
      <w:r>
        <w:t xml:space="preserve"> </w:t>
      </w:r>
      <w:r>
        <w:t xml:space="preserve">more generally: a paper can do real, citable work toward some PAVE-ML items while</w:t>
      </w:r>
      <w:r>
        <w:t xml:space="preserve"> </w:t>
      </w:r>
      <w:r>
        <w:t xml:space="preserve">leaving others exactly as unaddressed as the rest of the field.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8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(§12)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</w:t>
      </w:r>
      <w:r>
        <w:t xml:space="preserve"> </w:t>
      </w:r>
      <w:hyperlink w:anchor="fig-leakag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makes the mechanism concrete: with roughly twelve observations per section, an</w:t>
      </w:r>
      <w:r>
        <w:t xml:space="preserve"> </w:t>
      </w:r>
      <w:r>
        <w:t xml:space="preserve">ungrouped random assignment (Panel A) all but guarantees that most sections</w:t>
      </w:r>
      <w:r>
        <w:t xml:space="preserve"> </w:t>
      </w:r>
      <w:r>
        <w:t xml:space="preserve">contribute records to more than one fold, so a model can be trained on 10–11 of a</w:t>
      </w:r>
      <w:r>
        <w:t xml:space="preserve"> </w:t>
      </w:r>
      <w:r>
        <w:t xml:space="preserve">section’s 12 observations and then</w:t>
      </w:r>
      <w:r>
        <w:t xml:space="preserve"> </w:t>
      </w:r>
      <w:r>
        <w:t xml:space="preserve">“tested”</w:t>
      </w:r>
      <w:r>
        <w:t xml:space="preserve"> </w:t>
      </w:r>
      <w:r>
        <w:t xml:space="preserve">on the 12th — a near-duplicate,</w:t>
      </w:r>
      <w:r>
        <w:t xml:space="preserve"> </w:t>
      </w:r>
      <w:r>
        <w:t xml:space="preserve">spatially correlated record rather than a genuinely unseen one. A section-grouped</w:t>
      </w:r>
      <w:r>
        <w:t xml:space="preserve"> </w:t>
      </w:r>
      <w:r>
        <w:t xml:space="preserve">assignment (Panel B), which the reviewed papers’ methods sections do not describe</w:t>
      </w:r>
      <w:r>
        <w:t xml:space="preserve"> </w:t>
      </w:r>
      <w:r>
        <w:t xml:space="preserve">using, holds each section entirely within one fold, so the test fold contains no</w:t>
      </w:r>
      <w:r>
        <w:t xml:space="preserve"> </w:t>
      </w:r>
      <w:r>
        <w:t xml:space="preserve">information the model could have seen during training.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leakage"/>
          <w:p>
            <w:pPr>
              <w:pStyle w:val="Compact"/>
              <w:jc w:val="center"/>
            </w:pPr>
            <w:r>
              <w:drawing>
                <wp:inline>
                  <wp:extent cx="5067300" cy="390122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figures/fig04_leakage_diagram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67300" cy="3901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Random versus section-grouped 5-fold cross-validation on a 33-section, ~12-observation-per-section</w:t>
            </w:r>
            <w:r>
              <w:t xml:space="preserve"> </w:t>
            </w:r>
            <w:r>
              <w:t xml:space="preserve">substrate matching the CRCP data audited in this section. Panel A reproduces the</w:t>
            </w:r>
            <w:r>
              <w:t xml:space="preserve"> </w:t>
            </w:r>
            <w:r>
              <w:t xml:space="preserve">partitioning</w:t>
            </w:r>
            <w:r>
              <w:t xml:space="preserve"> </w:t>
            </w:r>
            <w:r>
              <w:t xml:space="preserve">Alnaqbi et al. (2025f)</w:t>
            </w:r>
            <w:r>
              <w:t xml:space="preserve">’s methods section describes; Panel B shows the</w:t>
            </w:r>
            <w:r>
              <w:t xml:space="preserve"> </w:t>
            </w:r>
            <w:r>
              <w:t xml:space="preserve">section-grouped alternative not used in the reviewed</w:t>
            </w:r>
            <w:r>
              <w:t xml:space="preserve"> </w:t>
            </w:r>
            <w:r>
              <w:t xml:space="preserve">papers.</w:t>
            </w:r>
          </w:p>
          <w:bookmarkEnd w:id="37"/>
        </w:tc>
      </w:tr>
    </w:tbl>
    <w:p>
      <w:pPr>
        <w:pStyle w:val="BodyText"/>
      </w:pPr>
      <w:r>
        <w:t xml:space="preserve">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team, and one</w:t>
      </w:r>
      <w:r>
        <w:t xml:space="preserve"> </w:t>
      </w:r>
      <w:r>
        <w:t xml:space="preserve">of them is now full-text confirmed rather than ambiguous. Xiao et al.’s</w:t>
      </w:r>
      <w:r>
        <w:t xml:space="preserve"> </w:t>
      </w:r>
      <w:r>
        <w:t xml:space="preserve">TPE-CatBoost faulting model</w:t>
      </w:r>
      <w:r>
        <w:t xml:space="preserve"> </w:t>
      </w:r>
      <w:r>
        <w:t xml:space="preserve">(Xiao et al., 2023)</w:t>
      </w:r>
      <w:r>
        <w:t xml:space="preserve">, read in full, resolves its</w:t>
      </w:r>
      <w:r>
        <w:t xml:space="preserve"> </w:t>
      </w:r>
      <w:r>
        <w:t xml:space="preserve">own ambiguity definitively: the paper’s Boruta feature-selection step is</w:t>
      </w:r>
      <w:r>
        <w:t xml:space="preserve"> </w:t>
      </w:r>
      <w:r>
        <w:t xml:space="preserve">performed in Section 3 (</w:t>
      </w:r>
      <w:r>
        <w:t xml:space="preserve">“Data Preparation”</w:t>
      </w:r>
      <w:r>
        <w:t xml:space="preserve">), applied to the full 160-observation</w:t>
      </w:r>
      <w:r>
        <w:t xml:space="preserve"> </w:t>
      </w:r>
      <w:r>
        <w:t xml:space="preserve">pool, and only in Section 4 (</w:t>
      </w:r>
      <w:r>
        <w:t xml:space="preserve">“Model Construction”</w:t>
      </w:r>
      <w:r>
        <w:t xml:space="preserve">) does an 80/20 train-test split</w:t>
      </w:r>
      <w:r>
        <w:t xml:space="preserve"> </w:t>
      </w:r>
      <w:r>
        <w:t xml:space="preserve">appear — meaning Boruta selected the six variables the final model uses with the</w:t>
      </w:r>
      <w:r>
        <w:t xml:space="preserve"> </w:t>
      </w:r>
      <w:r>
        <w:t xml:space="preserve">benefit of information from what later became the test partition. This is a</w:t>
      </w:r>
      <w:r>
        <w:t xml:space="preserve"> </w:t>
      </w:r>
      <w:r>
        <w:t xml:space="preserve">different leakage mechanism from the CRCP series above — a real held-out test</w:t>
      </w:r>
      <w:r>
        <w:t xml:space="preserve"> </w:t>
      </w:r>
      <w:r>
        <w:t xml:space="preserve">set exists here, contaminated only by feature selection performed before the</w:t>
      </w:r>
      <w:r>
        <w:t xml:space="preserve"> </w:t>
      </w:r>
      <w:r>
        <w:t xml:space="preserve">split, rather than an entirely ungrouped cross-validation — and the paper’s own</w:t>
      </w:r>
      <w:r>
        <w:t xml:space="preserve"> </w:t>
      </w:r>
      <w:r>
        <w:t xml:space="preserve">conclusion attributes part of its headline result directly to the contaminated</w:t>
      </w:r>
      <w:r>
        <w:t xml:space="preserve"> </w:t>
      </w:r>
      <w:r>
        <w:t xml:space="preserve">step: the six-variable model improves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by 0.007 over the seventeen-variable</w:t>
      </w:r>
      <w:r>
        <w:t xml:space="preserve"> </w:t>
      </w:r>
      <w:r>
        <w:t xml:space="preserve">version,</w:t>
      </w:r>
      <w:r>
        <w:t xml:space="preserve"> </w:t>
      </w:r>
      <w:r>
        <w:t xml:space="preserve">“attributed to the capability of Boruta to identify relevant</w:t>
      </w:r>
      <w:r>
        <w:t xml:space="preserve"> </w:t>
      </w:r>
      <w:r>
        <w:t xml:space="preserve">variables.”</w:t>
      </w:r>
      <w:r>
        <w:t xml:space="preserve"> </w:t>
      </w:r>
      <w:r>
        <w:t xml:space="preserve">The two mechanisms, read together, make the point this review is</w:t>
      </w:r>
      <w:r>
        <w:t xml:space="preserve"> </w:t>
      </w:r>
      <w:r>
        <w:t xml:space="preserve">built to make more sharply than either alone: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in PAVE-ML (§12)</w:t>
      </w:r>
      <w:r>
        <w:t xml:space="preserve"> </w:t>
      </w:r>
      <w:r>
        <w:t xml:space="preserve">catches structurally different failures — no partition grouping in one case,</w:t>
      </w:r>
      <w:r>
        <w:t xml:space="preserve"> </w:t>
      </w:r>
      <w:r>
        <w:t xml:space="preserve">preprocessing fitted before the partition in the other — under a single item,</w:t>
      </w:r>
      <w:r>
        <w:t xml:space="preserve"> </w:t>
      </w:r>
      <w:r>
        <w:t xml:space="preserve">which is exactly why the item is framed around the outcome (does information</w:t>
      </w:r>
      <w:r>
        <w:t xml:space="preserve"> </w:t>
      </w:r>
      <w:r>
        <w:t xml:space="preserve">from the test set influence training) rather than around one specific</w:t>
      </w:r>
      <w:r>
        <w:t xml:space="preserve"> </w:t>
      </w:r>
      <w:r>
        <w:t xml:space="preserve">mechanism. A citation search while verifying this paper separately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§12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8"/>
    <w:bookmarkStart w:id="39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 — full-text</w:t>
      </w:r>
      <w:r>
        <w:t xml:space="preserve"> </w:t>
      </w:r>
      <w:r>
        <w:t xml:space="preserve">verification confirms the design does what its abstract claims, with a formal</w:t>
      </w:r>
      <w:r>
        <w:t xml:space="preserve"> </w:t>
      </w:r>
      <w:r>
        <w:t xml:space="preserve">description of the fold structure matching a textbook leakage-safe stacking</w:t>
      </w:r>
      <w:r>
        <w:t xml:space="preserve"> </w:t>
      </w:r>
      <w:r>
        <w:t xml:space="preserve">implementation — and is cited throughout this review (§9, §12) as the type’s</w:t>
      </w:r>
      <w:r>
        <w:t xml:space="preserve"> </w:t>
      </w:r>
      <w:r>
        <w:t xml:space="preserve">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</w:t>
      </w:r>
      <w:r>
        <w:t xml:space="preserve"> </w:t>
      </w:r>
      <w:r>
        <w:t xml:space="preserve">tunnel pavement performance within a digital-twin framework and report strong</w:t>
      </w:r>
      <w:r>
        <w:t xml:space="preserve"> </w:t>
      </w:r>
      <w:r>
        <w:t xml:space="preserve">deployment integration, but without the explicit leakage-avoidance statement</w:t>
      </w:r>
      <w:r>
        <w:t xml:space="preserve"> </w:t>
      </w:r>
      <w:r>
        <w:t xml:space="preserve">that distinguishes Huang et al.’s 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9"/>
    <w:bookmarkStart w:id="44" w:name="sec-premium"/>
    <w:p>
      <w:pPr>
        <w:pStyle w:val="Heading1"/>
      </w:pPr>
      <w:r>
        <w:t xml:space="preserve">9. The hybridisation premium</w:t>
      </w:r>
    </w:p>
    <w:bookmarkStart w:id="40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40"/>
    <w:bookmarkStart w:id="41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(§12) and were fixed before full-text coding</w:t>
      </w:r>
      <w:r>
        <w:t xml:space="preserve"> </w:t>
      </w:r>
      <w:r>
        <w:t xml:space="preserve">began.</w:t>
      </w:r>
    </w:p>
    <w:bookmarkEnd w:id="41"/>
    <w:bookmarkStart w:id="43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§12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43"/>
    <w:bookmarkEnd w:id="44"/>
    <w:bookmarkStart w:id="48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Two constructs recur across the hybrid-model literature under the banner of</w:t>
      </w:r>
      <w:r>
        <w:t xml:space="preserve"> </w:t>
      </w:r>
      <w:r>
        <w:t xml:space="preserve">trustworthiness — interpretability and uncertainty quantification — and both are</w:t>
      </w:r>
      <w:r>
        <w:t xml:space="preserve"> </w:t>
      </w:r>
      <w:r>
        <w:t xml:space="preserve">applied in this corpus in ways that, on inspection, often do less than their</w:t>
      </w:r>
      <w:r>
        <w:t xml:space="preserve"> </w:t>
      </w:r>
      <w:r>
        <w:t xml:space="preserve">presence in a paper’s keyword list implies.</w:t>
      </w:r>
    </w:p>
    <w:bookmarkStart w:id="45" w:name="X49cb7ec1024df583123906f939cb2b3118205d9"/>
    <w:p>
      <w:pPr>
        <w:pStyle w:val="Heading2"/>
      </w:pPr>
      <w:r>
        <w:t xml:space="preserve">10.1 What</w:t>
      </w:r>
      <w:r>
        <w:t xml:space="preserve"> </w:t>
      </w:r>
      <w:r>
        <w:t xml:space="preserve">“interpretability”</w:t>
      </w:r>
      <w:r>
        <w:t xml:space="preserve"> </w:t>
      </w:r>
      <w:r>
        <w:t xml:space="preserve">means for a hybrid pipeline</w:t>
      </w:r>
    </w:p>
    <w:p>
      <w:pPr>
        <w:pStyle w:val="FirstParagraph"/>
      </w:pPr>
      <w:r>
        <w:t xml:space="preserve">The interpretability methods visible in the seed corpus fall into two families with</w:t>
      </w:r>
      <w:r>
        <w:t xml:space="preserve"> </w:t>
      </w:r>
      <w:r>
        <w:t xml:space="preserve">different epistemic status. The first is</w:t>
      </w:r>
      <w:r>
        <w:t xml:space="preserve"> </w:t>
      </w:r>
      <w:r>
        <w:rPr>
          <w:b/>
          <w:bCs/>
        </w:rPr>
        <w:t xml:space="preserve">post-hoc attribution on an opaque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: Garson’s algorithm and connection-weight decomposition</w:t>
      </w:r>
      <w:r>
        <w:t xml:space="preserve"> </w:t>
      </w:r>
      <w:r>
        <w:t xml:space="preserve">(Ghanizadeh et al., 2020)</w:t>
      </w:r>
      <w:r>
        <w:t xml:space="preserve">, SHAP applied to gradient-boosted or stacked ensembles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, and neighbourhood component analysis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2023)</w:t>
      </w:r>
      <w:r>
        <w:t xml:space="preserve">. These methods answer a well-defined but narrow question —</w:t>
      </w:r>
      <w:r>
        <w:t xml:space="preserve"> </w:t>
      </w:r>
      <w:r>
        <w:t xml:space="preserve">which inputs moved this particular model’s output, on this particular data — and</w:t>
      </w:r>
      <w:r>
        <w:t xml:space="preserve"> </w:t>
      </w:r>
      <w:r>
        <w:t xml:space="preserve">answer nothing at all about whether the model’s predictions are trustworthy off</w:t>
      </w:r>
      <w:r>
        <w:t xml:space="preserve"> </w:t>
      </w:r>
      <w:r>
        <w:t xml:space="preserve">that data. The second is</w:t>
      </w:r>
      <w:r>
        <w:t xml:space="preserve"> </w:t>
      </w:r>
      <w:r>
        <w:rPr>
          <w:b/>
          <w:bCs/>
        </w:rPr>
        <w:t xml:space="preserve">intrinsic interpretability</w:t>
      </w:r>
      <w:r>
        <w:t xml:space="preserve">: symbolic-regression</w:t>
      </w:r>
      <w:r>
        <w:t xml:space="preserve"> </w:t>
      </w:r>
      <w:r>
        <w:t xml:space="preserve">methods (GEP, MEP, EPR, MGGP) that yield a closed-form equation rather than a</w:t>
      </w:r>
      <w:r>
        <w:t xml:space="preserve"> </w:t>
      </w:r>
      <w:r>
        <w:t xml:space="preserve">black-box function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Jalal et al.</w:t>
      </w:r>
      <w:r>
        <w:t xml:space="preserve">, 2023; Mazari and Rodriguez, 2016)</w:t>
      </w:r>
      <w:r>
        <w:t xml:space="preserve">. An</w:t>
      </w:r>
      <w:r>
        <w:t xml:space="preserve"> </w:t>
      </w:r>
      <w:r>
        <w:t xml:space="preserve">equation can be inspected for physical plausibility — does the sign of each</w:t>
      </w:r>
      <w:r>
        <w:t xml:space="preserve"> </w:t>
      </w:r>
      <w:r>
        <w:t xml:space="preserve">coefficient match known mechanics, does the functional form saturate or diverge</w:t>
      </w:r>
      <w:r>
        <w:t xml:space="preserve"> </w:t>
      </w:r>
      <w:r>
        <w:t xml:space="preserve">where it should — in a way a SHAP plot cannot be, because SHAP explains what the</w:t>
      </w:r>
      <w:r>
        <w:t xml:space="preserve"> </w:t>
      </w:r>
      <w:r>
        <w:t xml:space="preserve">model learned, not whether what it learned is correct.</w:t>
      </w:r>
    </w:p>
    <w:p>
      <w:pPr>
        <w:pStyle w:val="BodyText"/>
      </w:pPr>
      <w:r>
        <w:t xml:space="preserve">This distinction sharpens the point §7 and §9 make about validation. An</w:t>
      </w:r>
      <w:r>
        <w:t xml:space="preserve"> </w:t>
      </w:r>
      <w:r>
        <w:t xml:space="preserve">attribution method applied to a model that has not been externally validated</w:t>
      </w:r>
      <w:r>
        <w:t xml:space="preserve"> </w:t>
      </w:r>
      <w:r>
        <w:t xml:space="preserve">(the majority of the corpus, by the audit’s own count) ranks the structure of</w:t>
      </w:r>
      <w:r>
        <w:t xml:space="preserve"> </w:t>
      </w:r>
      <w:r>
        <w:t xml:space="preserve">that model’s training data, not the physics of the pavement — and every one of</w:t>
      </w:r>
      <w:r>
        <w:t xml:space="preserve"> </w:t>
      </w:r>
      <w:r>
        <w:t xml:space="preserve">the corpus’s SHAP applications identified so far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2025; Xiao et al., 2023)</w:t>
      </w:r>
      <w:r>
        <w:t xml:space="preserve"> </w:t>
      </w:r>
      <w:r>
        <w:t xml:space="preserve">is computed on a model whose external validation, under</w:t>
      </w:r>
      <w:r>
        <w:t xml:space="preserve"> </w:t>
      </w:r>
      <w:r>
        <w:t xml:space="preserve">the criterion in §2.3,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. This is not a claim that the attributions are</w:t>
      </w:r>
      <w:r>
        <w:t xml:space="preserve"> </w:t>
      </w:r>
      <w:r>
        <w:t xml:space="preserve">wrong; it is a claim that their scope is narrower than the surrounding prose</w:t>
      </w:r>
      <w:r>
        <w:t xml:space="preserve"> </w:t>
      </w:r>
      <w:r>
        <w:t xml:space="preserve">typically implies. A useful negative case makes the point concretely:</w:t>
      </w:r>
      <w:r>
        <w:t xml:space="preserve"> </w:t>
      </w:r>
      <w:r>
        <w:t xml:space="preserve">Sandamal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apply SHAP to a two-predictor roughness model (age and</w:t>
      </w:r>
      <w:r>
        <w:t xml:space="preserve"> </w:t>
      </w:r>
      <w:r>
        <w:t xml:space="preserve">cumulative traffic) — with only two inputs, a SHAP decomposition can say little a</w:t>
      </w:r>
      <w:r>
        <w:t xml:space="preserve"> </w:t>
      </w:r>
      <w:r>
        <w:t xml:space="preserve">simple partial-dependence plot would not already show, and the paper illustrates</w:t>
      </w:r>
      <w:r>
        <w:t xml:space="preserve"> </w:t>
      </w:r>
      <w:r>
        <w:t xml:space="preserve">how readily explainability tooling is reached for even where the underlying model</w:t>
      </w:r>
      <w:r>
        <w:t xml:space="preserve"> </w:t>
      </w:r>
      <w:r>
        <w:t xml:space="preserve">offers little for it to explain. At the other end,</w:t>
      </w:r>
      <w:r>
        <w:t xml:space="preserve"> </w:t>
      </w:r>
      <w:r>
        <w:t xml:space="preserve">Jalal et al.</w:t>
      </w:r>
      <w:r>
        <w:t xml:space="preserve"> </w:t>
      </w:r>
      <w:r>
        <w:t xml:space="preserve">(2023)</w:t>
      </w:r>
      <w:r>
        <w:t xml:space="preserve"> </w:t>
      </w:r>
      <w:r>
        <w:t xml:space="preserve">make the</w:t>
      </w:r>
      <w:r>
        <w:t xml:space="preserve"> </w:t>
      </w:r>
      <w:r>
        <w:t xml:space="preserve">trade-off explicit rather than leaving it implicit: their ANN outperforms GEP and</w:t>
      </w:r>
      <w:r>
        <w:t xml:space="preserve"> </w:t>
      </w:r>
      <w:r>
        <w:t xml:space="preserve">MEP numerically, and they recommend the symbolic alternatives anyway, stating</w:t>
      </w:r>
      <w:r>
        <w:t xml:space="preserve"> </w:t>
      </w:r>
      <w:r>
        <w:t xml:space="preserve">plainly that this is</w:t>
      </w:r>
      <w:r>
        <w:t xml:space="preserve"> </w:t>
      </w:r>
      <w:r>
        <w:t xml:space="preserve">“due to the blackbox nature of the ANN”</w:t>
      </w:r>
      <w:r>
        <w:t xml:space="preserve"> </w:t>
      </w:r>
      <w:r>
        <w:t xml:space="preserve">— one of the only</w:t>
      </w:r>
      <w:r>
        <w:t xml:space="preserve"> </w:t>
      </w:r>
      <w:r>
        <w:t xml:space="preserve">studies in the corpus to treat interpretability as a design objective competing</w:t>
      </w:r>
      <w:r>
        <w:t xml:space="preserve"> </w:t>
      </w:r>
      <w:r>
        <w:t xml:space="preserve">with accuracy, rather than as a figure added after the fact.</w:t>
      </w:r>
    </w:p>
    <w:bookmarkEnd w:id="45"/>
    <w:bookmarkStart w:id="46" w:name="X91e2116918ce5fd5ce72980b074ec362577273d"/>
    <w:p>
      <w:pPr>
        <w:pStyle w:val="Heading2"/>
      </w:pPr>
      <w:r>
        <w:t xml:space="preserve">10.2 Uncertainty quantification: absent, not merely under-reported</w:t>
      </w:r>
    </w:p>
    <w:p>
      <w:pPr>
        <w:pStyle w:val="FirstParagraph"/>
      </w:pPr>
      <w:r>
        <w:t xml:space="preserve">Where interpretability is present but often narrow, predictive uncertainty is, so</w:t>
      </w:r>
      <w:r>
        <w:t xml:space="preserve"> </w:t>
      </w:r>
      <w:r>
        <w:t xml:space="preserve">far, close to absent. None of the studies coded to date reports an interval or</w:t>
      </w:r>
      <w:r>
        <w:t xml:space="preserve"> </w:t>
      </w:r>
      <w:r>
        <w:t xml:space="preserve">distributional estimate for an individual prediction — no conformal intervals, no</w:t>
      </w:r>
      <w:r>
        <w:t xml:space="preserve"> </w:t>
      </w:r>
      <w:r>
        <w:t xml:space="preserve">deep ensembles, no Gaussian-process variance, no quantile regression. What the</w:t>
      </w:r>
      <w:r>
        <w:t xml:space="preserve"> </w:t>
      </w:r>
      <w:r>
        <w:t xml:space="preserve">corpus does report, frequently, is dispersion of the</w:t>
      </w:r>
      <w:r>
        <w:t xml:space="preserve"> </w:t>
      </w:r>
      <w:r>
        <w:rPr>
          <w:i/>
          <w:iCs/>
        </w:rPr>
        <w:t xml:space="preserve">performance estimate</w:t>
      </w:r>
      <w:r>
        <w:t xml:space="preserve"> </w:t>
      </w:r>
      <w:r>
        <w:t xml:space="preserve">across</w:t>
      </w:r>
      <w:r>
        <w:t xml:space="preserve"> </w:t>
      </w:r>
      <w:r>
        <w:t xml:space="preserve">cross-validation folds (§9’s discussion of</w:t>
      </w:r>
      <w:r>
        <w:t xml:space="preserve"> </w:t>
      </w:r>
      <w:r>
        <w:t xml:space="preserve">Alnaqbi et al. (2025f)</w:t>
      </w:r>
      <w:r>
        <w:t xml:space="preserve">’s fold-consistent</w:t>
      </w:r>
      <w:r>
        <w:t xml:space="preserve"> </w:t>
      </w:r>
      <w:r>
        <w:t xml:space="preserve">RMSE is one example), which is a different quantity: it describes how stable the</w:t>
      </w:r>
      <w:r>
        <w:t xml:space="preserve"> </w:t>
      </w:r>
      <w:r>
        <w:t xml:space="preserve">model’s average skill is across resampling, not how confident any single</w:t>
      </w:r>
      <w:r>
        <w:t xml:space="preserve"> </w:t>
      </w:r>
      <w:r>
        <w:t xml:space="preserve">prediction should be treated. The two are easy to conflate and the corpus’s</w:t>
      </w:r>
      <w:r>
        <w:t xml:space="preserve"> </w:t>
      </w:r>
      <w:r>
        <w:t xml:space="preserve">papers do not, so far, distinguish them explicitly. Reporting this distinction is</w:t>
      </w:r>
      <w:r>
        <w:t xml:space="preserve"> </w:t>
      </w:r>
      <w:r>
        <w:t xml:space="preserve">itself one of the audit’s findings — a field that quantifies dispersion of its own</w:t>
      </w:r>
      <w:r>
        <w:t xml:space="preserve"> </w:t>
      </w:r>
      <w:r>
        <w:t xml:space="preserve">performance estimate but not of its individual predictions has a form of</w:t>
      </w:r>
      <w:r>
        <w:t xml:space="preserve"> </w:t>
      </w:r>
      <w:r>
        <w:t xml:space="preserve">uncertainty reporting that looks more complete than it is.</w:t>
      </w:r>
    </w:p>
    <w:bookmarkEnd w:id="46"/>
    <w:bookmarkStart w:id="47" w:name="Xd682745c7bc1f0efecf3cafadf5b85d8e31ce15"/>
    <w:p>
      <w:pPr>
        <w:pStyle w:val="Heading2"/>
      </w:pPr>
      <w:r>
        <w:t xml:space="preserve">10.3 Physics-informed learning as a third, structural, path</w:t>
      </w:r>
    </w:p>
    <w:p>
      <w:pPr>
        <w:pStyle w:val="FirstParagraph"/>
      </w:pPr>
      <w:r>
        <w:t xml:space="preserve">Pasupunuri et al. (2024)</w:t>
      </w:r>
      <w:r>
        <w:t xml:space="preserve">’s PINN offers a genuinely different route to</w:t>
      </w:r>
      <w:r>
        <w:t xml:space="preserve"> </w:t>
      </w:r>
      <w:r>
        <w:t xml:space="preserve">trustworthiness than either post-hoc attribution or a closed-form equation: rather</w:t>
      </w:r>
      <w:r>
        <w:t xml:space="preserve"> </w:t>
      </w:r>
      <w:r>
        <w:t xml:space="preserve">than explaining a model after fitting or restricting its functional form,</w:t>
      </w:r>
      <w:r>
        <w:t xml:space="preserve"> </w:t>
      </w:r>
      <w:r>
        <w:t xml:space="preserve">constrain what the model is permitted to learn to what the underlying MEPDG</w:t>
      </w:r>
      <w:r>
        <w:t xml:space="preserve"> </w:t>
      </w:r>
      <w:r>
        <w:t xml:space="preserve">mechanics allow, expressed as a physics-loss term during training. Sensitivity</w:t>
      </w:r>
      <w:r>
        <w:t xml:space="preserve"> </w:t>
      </w:r>
      <w:r>
        <w:t xml:space="preserve">analysis is reported as a supplementary check, not the primary trust mechanism —</w:t>
      </w:r>
      <w:r>
        <w:t xml:space="preserve"> </w:t>
      </w:r>
      <w:r>
        <w:t xml:space="preserve">the mechanics constraint does that work directly. This is the only example of</w:t>
      </w:r>
      <w:r>
        <w:t xml:space="preserve"> </w:t>
      </w:r>
      <w:r>
        <w:t xml:space="preserve">this kind in the seed corpus (§8), and its scarcity is itself the finding: a</w:t>
      </w:r>
      <w:r>
        <w:t xml:space="preserve"> </w:t>
      </w:r>
      <w:r>
        <w:t xml:space="preserve">pavement engineering literature that has adopted post-hoc explanation tools</w:t>
      </w:r>
      <w:r>
        <w:t xml:space="preserve"> </w:t>
      </w:r>
      <w:r>
        <w:t xml:space="preserve">readily has adopted structural, mechanics-consistent alternatives far more slowly,</w:t>
      </w:r>
      <w:r>
        <w:t xml:space="preserve"> </w:t>
      </w:r>
      <w:r>
        <w:t xml:space="preserve">despite the domain’s underlying physics being comparatively well characterised</w:t>
      </w:r>
      <w:r>
        <w:t xml:space="preserve"> </w:t>
      </w:r>
      <w:r>
        <w:t xml:space="preserve">relative to many fields where PINNs originated.</w:t>
      </w:r>
    </w:p>
    <w:bookmarkEnd w:id="47"/>
    <w:bookmarkEnd w:id="48"/>
    <w:bookmarkStart w:id="49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p>
      <w:pPr>
        <w:pStyle w:val="BodyText"/>
      </w:pPr>
      <w:r>
        <w:t xml:space="preserve">A related and more immediate question is how often the gap between training and</w:t>
      </w:r>
      <w:r>
        <w:t xml:space="preserve"> </w:t>
      </w:r>
      <w:r>
        <w:t xml:space="preserve">test performance is even visible enough to judge, and here one paper in the seed</w:t>
      </w:r>
      <w:r>
        <w:t xml:space="preserve"> </w:t>
      </w:r>
      <w:r>
        <w:t xml:space="preserve">corpus supplies a rare, self-reported answer rather than requiring an external</w:t>
      </w:r>
      <w:r>
        <w:t xml:space="preserve"> </w:t>
      </w:r>
      <w:r>
        <w:t xml:space="preserve">audit to surface it. Jalal et al.</w:t>
      </w:r>
      <w:r>
        <w:t xml:space="preserve"> </w:t>
      </w:r>
      <w:r>
        <w:t xml:space="preserve">(</w:t>
      </w:r>
      <w:r>
        <w:t xml:space="preserve">Jalal et al.</w:t>
      </w:r>
      <w:r>
        <w:t xml:space="preserve">, 2024)</w:t>
      </w:r>
      <w:r>
        <w:t xml:space="preserve"> </w:t>
      </w:r>
      <w:r>
        <w:t xml:space="preserve">report four</w:t>
      </w:r>
      <w:r>
        <w:t xml:space="preserve"> </w:t>
      </w:r>
      <w:r>
        <w:t xml:space="preserve">metaheuristic-tuned ANN variants (PSO, GWO, SMA and MPA) for expansive-soil swell</w:t>
      </w:r>
      <w:r>
        <w:t xml:space="preserve"> </w:t>
      </w:r>
      <w:r>
        <w:t xml:space="preserve">pressure and unconfined compressive strength, with training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 for</w:t>
      </w:r>
      <w:r>
        <w:t xml:space="preserve"> </w:t>
      </w:r>
      <w:r>
        <w:t xml:space="preserve">the UCS models — and then state plainly, in their own results section, that</w:t>
      </w:r>
      <w:r>
        <w:t xml:space="preserve"> </w:t>
      </w:r>
      <w:r>
        <w:t xml:space="preserve">“the UCS models witnessed an overfitting problem because the aforementioned R</w:t>
      </w:r>
      <w:r>
        <w:t xml:space="preserve"> </w:t>
      </w:r>
      <w:r>
        <w:t xml:space="preserve">values of the metaheuristics were 0.62, 0.56, and 0.58”</w:t>
      </w:r>
      <w:r>
        <w:t xml:space="preserve"> </w:t>
      </w:r>
      <w:r>
        <w:t xml:space="preserve">on the test partition.</w:t>
      </w:r>
      <w:r>
        <w:t xml:space="preserve"> </w:t>
      </w:r>
      <w:r>
        <w:t xml:space="preserve">This is, so far, the only paper in the corpus to name its own train-test gap in</w:t>
      </w:r>
      <w:r>
        <w:t xml:space="preserve"> </w:t>
      </w:r>
      <w:r>
        <w:t xml:space="preserve">these terms rather than reporting a single headline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moving on, and it is</w:t>
      </w:r>
      <w:r>
        <w:t xml:space="preserve"> </w:t>
      </w:r>
      <w:r>
        <w:t xml:space="preserve">a useful reminder that the rigour audit’s purpose is not to catch something no</w:t>
      </w:r>
      <w:r>
        <w:t xml:space="preserve"> </w:t>
      </w:r>
      <w:r>
        <w:t xml:space="preserve">author could have noticed — the gap is visible in the paper’s own tables — but to</w:t>
      </w:r>
      <w:r>
        <w:t xml:space="preserve"> </w:t>
      </w:r>
      <w:r>
        <w:t xml:space="preserve">make visible-but-unremarked-upon gaps like this one a counted, systematic finding</w:t>
      </w:r>
      <w:r>
        <w:t xml:space="preserve"> </w:t>
      </w:r>
      <w:r>
        <w:t xml:space="preserve">rather than an exception a careful reader happens to spot.</w:t>
      </w:r>
    </w:p>
    <w:bookmarkEnd w:id="49"/>
    <w:bookmarkStart w:id="51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  <w:r>
        <w:t xml:space="preserve"> </w:t>
      </w:r>
      <w:hyperlink w:anchor="tbl-paveml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reproduces the full</w:t>
      </w:r>
      <w:r>
        <w:t xml:space="preserve"> </w:t>
      </w:r>
      <w:r>
        <w:t xml:space="preserve">instrument; the operational decision rules and worked examples that make each</w:t>
      </w:r>
      <w:r>
        <w:t xml:space="preserve"> </w:t>
      </w:r>
      <w:r>
        <w:t xml:space="preserve">item’s coding reproducible rather than a matter of reader judgement are given in</w:t>
      </w:r>
      <w:r>
        <w:t xml:space="preserve"> </w:t>
      </w:r>
      <w:r>
        <w:t xml:space="preserve">full in the supplementary material (</w:t>
      </w:r>
      <w:r>
        <w:rPr>
          <w:rStyle w:val="VerbatimChar"/>
        </w:rPr>
        <w:t xml:space="preserve">docs/03_PAVE-ML_instrument.md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pavem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The PAVE-ML checklist: 20 general items across five domains, plus 4 items specific to hybrid pipelines.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#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Item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D1. Data provenance and structure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Origin of every record stated (lab programme, named field project, named public database, or simulation), with acquisition period.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 of observation defined; paper states whether records are independent (e.g. repeated measurements on one specimen/section/image).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size reported per split; ratio of records to fitted parameters or candidate inputs is computable from the text.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 and target ranges given; paper states predictions outside those ranges are not supported.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D2. Preprocessing and partitioning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Split described precisely enough to reproduce: mechanism, proportions, and random seed (or its absence).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Every fitted preprocessing step (scaling, imputation, resampling, feature selection, augmentation) stated to be fitted inside the training partition only.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records are non-independent (item 2), the split respects the grouping – no specimen/section/image/site appears in more than one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Class imbalance, censoring, or target skew reported, with its treatment described.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D3. Modelling and comparison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fully specified: layers, widths, activations, regularisation; base learner and count for ensembles.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Hyperparameter search described (space, method, budget); the selection partition is named and differs from the reported test partition.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least one baseline is a tuned conventional model; the established domain/mechanistic model is included as a comparator where one exists.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a metaheuristic is used, whether it optimises hyperparameters or weights is stated, with a comparison against a conventionally tuned version of the same learner.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12a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 learner reported both with and without the hybridising component, on the same partition and metric.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12b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 budget stated for both hybrid and baseline arms (function evaluations, iterations × population, or wall-clock time).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12c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optimisers run more than once; spread across runs reported, not only the best run.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(hybrid-specific)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newly named optimiser is compared against at least 2 established optimisers on the same problem; the No-Free-Lunch implication is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D4. Evaluation, uncertainty and interpretation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Metrics suit the task (e.g. IoU/F1 with the positive class defined for imbalanced segmentation, never bare pixel accuracy; an absolute-error metric in engineering units alongside R² for regression).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 reported for training AND held-out partitions, with dispersion (fold SD, CI, or repeated-run range), not a single point estimate.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Predictive uncertainty quantified for individual predictions (conformal intervals, deep ensembles, MC dropout, GP variance, quantile regression) or its absence acknowledged.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interpretation output (SHAP, PDP, Garson, connection weights, NCA, attention) accompanied by the explained model’s validation status and a mechanics-consistency check.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D5. Generalisation, transparency and use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Evaluated on at least 1 dataset from an independent source (different agency/region/lab/test track/campaign) or the absence of external validation is stated as a limitation in the conclusions.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 and trained weights available at a persistent identifier; data available or the barrier to release named.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Computational cost reported: training time, inference time per record/image, and hardware.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Intended decision context stated: which engineering decision the output informs, at what level (project/network), and what accuracy that decision requires.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and is now full-text confirmed to be, the clearest</w:t>
      </w:r>
      <w:r>
        <w:t xml:space="preserve"> </w:t>
      </w:r>
      <w:r>
        <w:t xml:space="preserve">example in the seed corpus of a study satisfying the spirit of items in this list</w:t>
      </w:r>
      <w:r>
        <w:t xml:space="preserve"> </w:t>
      </w:r>
      <w:r>
        <w:t xml:space="preserve">without having been written against it — its stacking meta-learner is trained on</w:t>
      </w:r>
      <w:r>
        <w:t xml:space="preserve"> </w:t>
      </w:r>
      <w:r>
        <w:t xml:space="preserve">cross-validated, not in-fold, predictions specifically to avoid leakage, stated</w:t>
      </w:r>
      <w:r>
        <w:t xml:space="preserve"> </w:t>
      </w:r>
      <w:r>
        <w:t xml:space="preserve">explicitly in the paper’s own methods section rather than inferred, which is</w:t>
      </w:r>
      <w:r>
        <w:t xml:space="preserve"> </w:t>
      </w:r>
      <w:r>
        <w:t xml:space="preserve">exactly the practice item 7 of the general instrument (grouped/blocked</w:t>
      </w:r>
      <w:r>
        <w:t xml:space="preserve"> </w:t>
      </w:r>
      <w:r>
        <w:t xml:space="preserve">partitioning respected by all fitted preprocessing) is written to detect the</w:t>
      </w:r>
      <w:r>
        <w:t xml:space="preserve"> </w:t>
      </w:r>
      <w:r>
        <w:t xml:space="preserve">absence of. One caveat keeps this a partial rather than a complete positive case:</w:t>
      </w:r>
      <w:r>
        <w:t xml:space="preserve"> </w:t>
      </w:r>
      <w:r>
        <w:t xml:space="preserve">the same paper’s external validation still codes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under the strict criterion</w:t>
      </w:r>
      <w:r>
        <w:t xml:space="preserve"> </w:t>
      </w:r>
      <w:r>
        <w:t xml:space="preserve">in §2.3, since all data come from the authors’ own laboratory tests rather than</w:t>
      </w:r>
      <w:r>
        <w:t xml:space="preserve"> </w:t>
      </w:r>
      <w:r>
        <w:t xml:space="preserve">an independently sourced dataset — a reminder that a study can get one PAVE-ML</w:t>
      </w:r>
      <w:r>
        <w:t xml:space="preserve"> </w:t>
      </w:r>
      <w:r>
        <w:t xml:space="preserve">dimension right while another remains open, and that the instrument is built to</w:t>
      </w:r>
      <w:r>
        <w:t xml:space="preserve"> </w:t>
      </w:r>
      <w:r>
        <w:t xml:space="preserve">report per-item findings rather than a single pass/fail verdict per paper. The</w:t>
      </w:r>
      <w:r>
        <w:t xml:space="preserve"> </w:t>
      </w:r>
      <w:r>
        <w:t xml:space="preserve">mirror-image worked example — full-text confirmation of the failure mode item 7</w:t>
      </w:r>
      <w:r>
        <w:t xml:space="preserve"> </w:t>
      </w:r>
      <w:r>
        <w:t xml:space="preserve">is written to 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</w:t>
      </w:r>
      <w:r>
        <w:t xml:space="preserve"> </w:t>
      </w:r>
      <w:r>
        <w:t xml:space="preserve">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51"/>
    <w:bookmarkStart w:id="52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52"/>
    <w:bookmarkStart w:id="53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(§12)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53"/>
    <w:bookmarkStart w:id="54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54"/>
    <w:bookmarkStart w:id="55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55"/>
    <w:bookmarkStart w:id="56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56"/>
    <w:bookmarkStart w:id="148" w:name="references"/>
    <w:p>
      <w:pPr>
        <w:pStyle w:val="Heading1"/>
      </w:pPr>
      <w:r>
        <w:t xml:space="preserve">References</w:t>
      </w:r>
    </w:p>
    <w:bookmarkStart w:id="147" w:name="refs"/>
    <w:bookmarkStart w:id="58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57">
        <w:r>
          <w:rPr>
            <w:rStyle w:val="Hyperlink"/>
          </w:rPr>
          <w:t xml:space="preserve">https://doi.org/10.1109/access.2022.3196660</w:t>
        </w:r>
      </w:hyperlink>
    </w:p>
    <w:bookmarkEnd w:id="58"/>
    <w:bookmarkStart w:id="60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9">
        <w:r>
          <w:rPr>
            <w:rStyle w:val="Hyperlink"/>
          </w:rPr>
          <w:t xml:space="preserve">https://doi.org/10.1007/s43995-025-00214-0</w:t>
        </w:r>
      </w:hyperlink>
    </w:p>
    <w:bookmarkEnd w:id="60"/>
    <w:bookmarkStart w:id="62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61">
        <w:r>
          <w:rPr>
            <w:rStyle w:val="Hyperlink"/>
          </w:rPr>
          <w:t xml:space="preserve">https://doi.org/10.1007/s41024-025-00667-9</w:t>
        </w:r>
      </w:hyperlink>
    </w:p>
    <w:bookmarkEnd w:id="62"/>
    <w:bookmarkStart w:id="64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63">
        <w:r>
          <w:rPr>
            <w:rStyle w:val="Hyperlink"/>
          </w:rPr>
          <w:t xml:space="preserve">https://doi.org/10.1007/s44290-025-00381-y</w:t>
        </w:r>
      </w:hyperlink>
    </w:p>
    <w:bookmarkEnd w:id="64"/>
    <w:bookmarkStart w:id="66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https://doi.org/10.1186/s44147-025-00623-x</w:t>
        </w:r>
      </w:hyperlink>
    </w:p>
    <w:bookmarkEnd w:id="66"/>
    <w:bookmarkStart w:id="68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67">
        <w:r>
          <w:rPr>
            <w:rStyle w:val="Hyperlink"/>
          </w:rPr>
          <w:t xml:space="preserve">https://doi.org/10.1007/s41024-024-00499-z</w:t>
        </w:r>
      </w:hyperlink>
    </w:p>
    <w:bookmarkEnd w:id="68"/>
    <w:bookmarkStart w:id="70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9">
        <w:r>
          <w:rPr>
            <w:rStyle w:val="Hyperlink"/>
          </w:rPr>
          <w:t xml:space="preserve">https://doi.org/10.3390/constrmater6010006</w:t>
        </w:r>
      </w:hyperlink>
    </w:p>
    <w:bookmarkEnd w:id="70"/>
    <w:bookmarkStart w:id="72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71">
        <w:r>
          <w:rPr>
            <w:rStyle w:val="Hyperlink"/>
          </w:rPr>
          <w:t xml:space="preserve">https://doi.org/10.1007/s41062-025-02249-7</w:t>
        </w:r>
      </w:hyperlink>
    </w:p>
    <w:bookmarkEnd w:id="72"/>
    <w:bookmarkStart w:id="74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73">
        <w:r>
          <w:rPr>
            <w:rStyle w:val="Hyperlink"/>
          </w:rPr>
          <w:t xml:space="preserve">https://doi.org/10.1186/s44147-025-00706-9</w:t>
        </w:r>
      </w:hyperlink>
    </w:p>
    <w:bookmarkEnd w:id="74"/>
    <w:bookmarkStart w:id="76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75">
        <w:r>
          <w:rPr>
            <w:rStyle w:val="Hyperlink"/>
          </w:rPr>
          <w:t xml:space="preserve">https://doi.org/10.32604/cmc.2023.042183</w:t>
        </w:r>
      </w:hyperlink>
    </w:p>
    <w:bookmarkEnd w:id="76"/>
    <w:bookmarkStart w:id="78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77">
        <w:r>
          <w:rPr>
            <w:rStyle w:val="Hyperlink"/>
          </w:rPr>
          <w:t xml:space="preserve">https://doi.org/10.1038/s41598-022-17429-z</w:t>
        </w:r>
      </w:hyperlink>
    </w:p>
    <w:bookmarkEnd w:id="78"/>
    <w:bookmarkStart w:id="80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9">
        <w:r>
          <w:rPr>
            <w:rStyle w:val="Hyperlink"/>
          </w:rPr>
          <w:t xml:space="preserve">https://doi.org/10.1109/access.2020.2966881</w:t>
        </w:r>
      </w:hyperlink>
    </w:p>
    <w:bookmarkEnd w:id="80"/>
    <w:bookmarkStart w:id="82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81">
        <w:r>
          <w:rPr>
            <w:rStyle w:val="Hyperlink"/>
          </w:rPr>
          <w:t xml:space="preserve">https://doi.org/10.1186/s43065-023-00082-9</w:t>
        </w:r>
      </w:hyperlink>
    </w:p>
    <w:bookmarkEnd w:id="82"/>
    <w:bookmarkStart w:id="84" w:name="ref-Duan2024resilient"/>
    <w:p>
      <w:pPr>
        <w:pStyle w:val="Bibliography"/>
      </w:pPr>
      <w:r>
        <w:t xml:space="preserve">Duan, X., 2024. Assessment of resilient modulus of soil using hybrid extreme gradient boosting models. Scientific Reports.</w:t>
      </w:r>
      <w:r>
        <w:t xml:space="preserve"> </w:t>
      </w:r>
      <w:hyperlink r:id="rId83">
        <w:r>
          <w:rPr>
            <w:rStyle w:val="Hyperlink"/>
          </w:rPr>
          <w:t xml:space="preserve">https://doi.org/10.1038/s41598-024-81311-3</w:t>
        </w:r>
      </w:hyperlink>
    </w:p>
    <w:bookmarkEnd w:id="84"/>
    <w:bookmarkStart w:id="8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85">
        <w:r>
          <w:rPr>
            <w:rStyle w:val="Hyperlink"/>
          </w:rPr>
          <w:t xml:space="preserve">https://doi.org/10.1139/cjce-2017-0132</w:t>
        </w:r>
      </w:hyperlink>
    </w:p>
    <w:bookmarkEnd w:id="86"/>
    <w:bookmarkStart w:id="8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87">
        <w:r>
          <w:rPr>
            <w:rStyle w:val="Hyperlink"/>
          </w:rPr>
          <w:t xml:space="preserve">https://doi.org/10.1109/access.2020.2991968</w:t>
        </w:r>
      </w:hyperlink>
    </w:p>
    <w:bookmarkEnd w:id="88"/>
    <w:bookmarkStart w:id="9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89">
        <w:r>
          <w:rPr>
            <w:rStyle w:val="Hyperlink"/>
          </w:rPr>
          <w:t xml:space="preserve">https://doi.org/10.3390/infrastructures11040127</w:t>
        </w:r>
      </w:hyperlink>
    </w:p>
    <w:bookmarkEnd w:id="90"/>
    <w:bookmarkStart w:id="92" w:name="ref-Ghanizadeh2023soft"/>
    <w:p>
      <w:pPr>
        <w:pStyle w:val="Bibliography"/>
      </w:pPr>
      <w:r>
        <w:t xml:space="preserve">Ghanizadeh, A.R., Aziminejad, A., Asteris, P.G., others</w:t>
      </w:r>
      <w:r>
        <w:t xml:space="preserve">, 2023. Soft computing to predict earthquake-induced soil liquefaction via CPT results. Infrastructures.</w:t>
      </w:r>
      <w:r>
        <w:t xml:space="preserve"> </w:t>
      </w:r>
      <w:hyperlink r:id="rId91">
        <w:r>
          <w:rPr>
            <w:rStyle w:val="Hyperlink"/>
          </w:rPr>
          <w:t xml:space="preserve">https://doi.org/10.3390/infrastructures8080125</w:t>
        </w:r>
      </w:hyperlink>
    </w:p>
    <w:bookmarkEnd w:id="92"/>
    <w:bookmarkStart w:id="94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93">
        <w:r>
          <w:rPr>
            <w:rStyle w:val="Hyperlink"/>
          </w:rPr>
          <w:t xml:space="preserve">https://doi.org/10.1007/s41062-020-00312-z</w:t>
        </w:r>
      </w:hyperlink>
    </w:p>
    <w:bookmarkEnd w:id="94"/>
    <w:bookmarkStart w:id="96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95">
        <w:r>
          <w:rPr>
            <w:rStyle w:val="Hyperlink"/>
          </w:rPr>
          <w:t xml:space="preserve">https://doi.org/10.1016/j.conbuildmat.2025.143050</w:t>
        </w:r>
      </w:hyperlink>
    </w:p>
    <w:bookmarkEnd w:id="96"/>
    <w:bookmarkStart w:id="98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97">
        <w:r>
          <w:rPr>
            <w:rStyle w:val="Hyperlink"/>
          </w:rPr>
          <w:t xml:space="preserve">https://doi.org/10.1038/s41598-024-61313-x</w:t>
        </w:r>
      </w:hyperlink>
    </w:p>
    <w:bookmarkEnd w:id="98"/>
    <w:bookmarkStart w:id="100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99">
        <w:r>
          <w:rPr>
            <w:rStyle w:val="Hyperlink"/>
          </w:rPr>
          <w:t xml:space="preserve">https://doi.org/10.1016/j.sandf.2020.02.010</w:t>
        </w:r>
      </w:hyperlink>
    </w:p>
    <w:bookmarkEnd w:id="100"/>
    <w:bookmarkStart w:id="102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101">
        <w:r>
          <w:rPr>
            <w:rStyle w:val="Hyperlink"/>
          </w:rPr>
          <w:t xml:space="preserve">https://doi.org/10.3390/data3030028</w:t>
        </w:r>
      </w:hyperlink>
    </w:p>
    <w:bookmarkEnd w:id="102"/>
    <w:bookmarkStart w:id="104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103">
        <w:r>
          <w:rPr>
            <w:rStyle w:val="Hyperlink"/>
          </w:rPr>
          <w:t xml:space="preserve">https://doi.org/10.1111/mice.70102</w:t>
        </w:r>
      </w:hyperlink>
    </w:p>
    <w:bookmarkEnd w:id="104"/>
    <w:bookmarkStart w:id="106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105">
        <w:r>
          <w:rPr>
            <w:rStyle w:val="Hyperlink"/>
          </w:rPr>
          <w:t xml:space="preserve">https://doi.org/10.1016/j.cscm.2022.e00991</w:t>
        </w:r>
      </w:hyperlink>
    </w:p>
    <w:bookmarkEnd w:id="106"/>
    <w:bookmarkStart w:id="108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107">
        <w:r>
          <w:rPr>
            <w:rStyle w:val="Hyperlink"/>
          </w:rPr>
          <w:t xml:space="preserve">https://doi.org/10.3390/infrastructures6020028</w:t>
        </w:r>
      </w:hyperlink>
    </w:p>
    <w:bookmarkEnd w:id="108"/>
    <w:bookmarkStart w:id="110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109">
        <w:r>
          <w:rPr>
            <w:rStyle w:val="Hyperlink"/>
          </w:rPr>
          <w:t xml:space="preserve">https://doi.org/10.1016/j.eng.2020.07.030</w:t>
        </w:r>
      </w:hyperlink>
    </w:p>
    <w:bookmarkEnd w:id="110"/>
    <w:bookmarkStart w:id="112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111">
        <w:r>
          <w:rPr>
            <w:rStyle w:val="Hyperlink"/>
          </w:rPr>
          <w:t xml:space="preserve">https://doi.org/10.3390/ma18122913</w:t>
        </w:r>
      </w:hyperlink>
    </w:p>
    <w:bookmarkEnd w:id="112"/>
    <w:bookmarkStart w:id="114" w:name="ref-Jalal2023indirect"/>
    <w:p>
      <w:pPr>
        <w:pStyle w:val="Bibliography"/>
      </w:pPr>
      <w:r>
        <w:t xml:space="preserve">Jalal, F.E., Iqbal, M., Khan, M.A., others</w:t>
      </w:r>
      <w:r>
        <w:t xml:space="preserve">, 2023. Indirect estimation of swelling pressure of expansive soil: GEP versus MEP modelling. Adv. Mater. Sci. Eng.</w:t>
      </w:r>
      <w:r>
        <w:t xml:space="preserve"> </w:t>
      </w:r>
      <w:hyperlink r:id="rId113">
        <w:r>
          <w:rPr>
            <w:rStyle w:val="Hyperlink"/>
          </w:rPr>
          <w:t xml:space="preserve">https://doi.org/10.1155/2023/1827117</w:t>
        </w:r>
      </w:hyperlink>
    </w:p>
    <w:bookmarkEnd w:id="114"/>
    <w:bookmarkStart w:id="116" w:name="ref-Jalal2024swarm"/>
    <w:p>
      <w:pPr>
        <w:pStyle w:val="Bibliography"/>
      </w:pPr>
      <w:r>
        <w:t xml:space="preserve">Jalal, F.E., Iqbal, M., Khan, W.A., others</w:t>
      </w:r>
      <w:r>
        <w:t xml:space="preserve">, 2024. ANN-based swarm intelligence for predicting expansive soil swell pressure and compression strength. Scientific Reports.</w:t>
      </w:r>
      <w:r>
        <w:t xml:space="preserve"> </w:t>
      </w:r>
      <w:hyperlink r:id="rId115">
        <w:r>
          <w:rPr>
            <w:rStyle w:val="Hyperlink"/>
          </w:rPr>
          <w:t xml:space="preserve">https://doi.org/10.1038/s41598-024-65547-7</w:t>
        </w:r>
      </w:hyperlink>
    </w:p>
    <w:bookmarkEnd w:id="116"/>
    <w:bookmarkStart w:id="118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17">
        <w:r>
          <w:rPr>
            <w:rStyle w:val="Hyperlink"/>
          </w:rPr>
          <w:t xml:space="preserve">https://doi.org/10.3390/asi9070133</w:t>
        </w:r>
      </w:hyperlink>
    </w:p>
    <w:bookmarkEnd w:id="118"/>
    <w:bookmarkStart w:id="120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19">
        <w:r>
          <w:rPr>
            <w:rStyle w:val="Hyperlink"/>
          </w:rPr>
          <w:t xml:space="preserve">https://doi.org/10.3390/app9163221</w:t>
        </w:r>
      </w:hyperlink>
    </w:p>
    <w:bookmarkEnd w:id="120"/>
    <w:bookmarkStart w:id="122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21">
        <w:r>
          <w:rPr>
            <w:rStyle w:val="Hyperlink"/>
          </w:rPr>
          <w:t xml:space="preserve">https://doi.org/10.48550/arxiv.2112.12589</w:t>
        </w:r>
      </w:hyperlink>
    </w:p>
    <w:bookmarkEnd w:id="122"/>
    <w:bookmarkStart w:id="124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23">
        <w:r>
          <w:rPr>
            <w:rStyle w:val="Hyperlink"/>
          </w:rPr>
          <w:t xml:space="preserve">https://doi.org/10.1007/s43995-026-00294-6</w:t>
        </w:r>
      </w:hyperlink>
    </w:p>
    <w:bookmarkEnd w:id="124"/>
    <w:bookmarkStart w:id="126" w:name="ref-Mazari2016pavement"/>
    <w:p>
      <w:pPr>
        <w:pStyle w:val="Bibliography"/>
      </w:pPr>
      <w:r>
        <w:t xml:space="preserve">Mazari, M., Rodriguez, D.D., 2016. Prediction of pavement roughness using a hybrid gene expression programming-neural network technique. J. Traffic Transp. Eng. (Engl. Ed.).</w:t>
      </w:r>
      <w:r>
        <w:t xml:space="preserve"> </w:t>
      </w:r>
      <w:hyperlink r:id="rId125">
        <w:r>
          <w:rPr>
            <w:rStyle w:val="Hyperlink"/>
          </w:rPr>
          <w:t xml:space="preserve">https://doi.org/10.1016/j.jtte.2016.09.007</w:t>
        </w:r>
      </w:hyperlink>
    </w:p>
    <w:bookmarkEnd w:id="126"/>
    <w:bookmarkStart w:id="128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27">
        <w:r>
          <w:rPr>
            <w:rStyle w:val="Hyperlink"/>
          </w:rPr>
          <w:t xml:space="preserve">https://doi.org/10.1111/mice.70169</w:t>
        </w:r>
      </w:hyperlink>
    </w:p>
    <w:bookmarkEnd w:id="128"/>
    <w:bookmarkStart w:id="130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29">
        <w:r>
          <w:rPr>
            <w:rStyle w:val="Hyperlink"/>
          </w:rPr>
          <w:t xml:space="preserve">https://doi.org/10.1177/03611981241245991</w:t>
        </w:r>
      </w:hyperlink>
    </w:p>
    <w:bookmarkEnd w:id="130"/>
    <w:bookmarkStart w:id="132" w:name="ref-Sandamal2023pavement"/>
    <w:p>
      <w:pPr>
        <w:pStyle w:val="Bibliography"/>
      </w:pPr>
      <w:r>
        <w:t xml:space="preserve">Sandamal, K., Shashiprabha, S., Muttil, N., others</w:t>
      </w:r>
      <w:r>
        <w:t xml:space="preserve">, 2023. Pavement roughness prediction using explainable and supervised machine learning technique for long-term performance. Sustainability.</w:t>
      </w:r>
      <w:r>
        <w:t xml:space="preserve"> </w:t>
      </w:r>
      <w:hyperlink r:id="rId131">
        <w:r>
          <w:rPr>
            <w:rStyle w:val="Hyperlink"/>
          </w:rPr>
          <w:t xml:space="preserve">https://doi.org/10.3390/su15129617</w:t>
        </w:r>
      </w:hyperlink>
    </w:p>
    <w:bookmarkEnd w:id="132"/>
    <w:bookmarkStart w:id="134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33">
        <w:r>
          <w:rPr>
            <w:rStyle w:val="Hyperlink"/>
          </w:rPr>
          <w:t xml:space="preserve">https://doi.org/10.3390/s23073772</w:t>
        </w:r>
      </w:hyperlink>
    </w:p>
    <w:bookmarkEnd w:id="134"/>
    <w:bookmarkStart w:id="136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35">
        <w:r>
          <w:rPr>
            <w:rStyle w:val="Hyperlink"/>
          </w:rPr>
          <w:t xml:space="preserve">https://doi.org/10.1016/j.conbuildmat.2023.133523</w:t>
        </w:r>
      </w:hyperlink>
    </w:p>
    <w:bookmarkEnd w:id="136"/>
    <w:bookmarkStart w:id="138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37">
        <w:r>
          <w:rPr>
            <w:rStyle w:val="Hyperlink"/>
          </w:rPr>
          <w:t xml:space="preserve">https://doi.org/10.3390/app132312862</w:t>
        </w:r>
      </w:hyperlink>
    </w:p>
    <w:bookmarkEnd w:id="138"/>
    <w:bookmarkStart w:id="14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39">
        <w:r>
          <w:rPr>
            <w:rStyle w:val="Hyperlink"/>
          </w:rPr>
          <w:t xml:space="preserve">https://doi.org/10.1016/j.jtte.2021.03.005</w:t>
        </w:r>
      </w:hyperlink>
    </w:p>
    <w:bookmarkEnd w:id="140"/>
    <w:bookmarkStart w:id="14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41">
        <w:r>
          <w:rPr>
            <w:rStyle w:val="Hyperlink"/>
          </w:rPr>
          <w:t xml:space="preserve">https://doi.org/10.1109/tits.2022.3161689</w:t>
        </w:r>
      </w:hyperlink>
    </w:p>
    <w:bookmarkEnd w:id="142"/>
    <w:bookmarkStart w:id="14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43">
        <w:r>
          <w:rPr>
            <w:rStyle w:val="Hyperlink"/>
          </w:rPr>
          <w:t xml:space="preserve">https://doi.org/10.1155/2020/8824135</w:t>
        </w:r>
      </w:hyperlink>
    </w:p>
    <w:bookmarkEnd w:id="144"/>
    <w:bookmarkStart w:id="14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45">
        <w:r>
          <w:rPr>
            <w:rStyle w:val="Hyperlink"/>
          </w:rPr>
          <w:t xml:space="preserve">https://doi.org/10.28991/cej-2025-011-01-06</w:t>
        </w:r>
      </w:hyperlink>
    </w:p>
    <w:bookmarkEnd w:id="146"/>
    <w:bookmarkEnd w:id="147"/>
    <w:bookmarkEnd w:id="1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34" Target="media/rId34.png" /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3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23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5" Target="https://doi.org/10.1016/j.conbuildmat.2023.133523" TargetMode="External" /><Relationship Type="http://schemas.openxmlformats.org/officeDocument/2006/relationships/hyperlink" Id="rId95" Target="https://doi.org/10.1016/j.conbuildmat.2025.143050" TargetMode="External" /><Relationship Type="http://schemas.openxmlformats.org/officeDocument/2006/relationships/hyperlink" Id="rId105" Target="https://doi.org/10.1016/j.cscm.2022.e00991" TargetMode="External" /><Relationship Type="http://schemas.openxmlformats.org/officeDocument/2006/relationships/hyperlink" Id="rId109" Target="https://doi.org/10.1016/j.eng.2020.07.030" TargetMode="External" /><Relationship Type="http://schemas.openxmlformats.org/officeDocument/2006/relationships/hyperlink" Id="rId125" Target="https://doi.org/10.1016/j.jtte.2016.09.007" TargetMode="External" /><Relationship Type="http://schemas.openxmlformats.org/officeDocument/2006/relationships/hyperlink" Id="rId139" Target="https://doi.org/10.1016/j.jtte.2021.03.005" TargetMode="External" /><Relationship Type="http://schemas.openxmlformats.org/officeDocument/2006/relationships/hyperlink" Id="rId99" Target="https://doi.org/10.1016/j.sandf.2020.02.010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7" Target="https://doi.org/10.1038/s41598-024-61313-x" TargetMode="External" /><Relationship Type="http://schemas.openxmlformats.org/officeDocument/2006/relationships/hyperlink" Id="rId115" Target="https://doi.org/10.1038/s41598-024-65547-7" TargetMode="External" /><Relationship Type="http://schemas.openxmlformats.org/officeDocument/2006/relationships/hyperlink" Id="rId83" Target="https://doi.org/10.1038/s41598-024-81311-3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7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41" Target="https://doi.org/10.1109/tits.2022.3161689" TargetMode="External" /><Relationship Type="http://schemas.openxmlformats.org/officeDocument/2006/relationships/hyperlink" Id="rId103" Target="https://doi.org/10.1111/mice.70102" TargetMode="External" /><Relationship Type="http://schemas.openxmlformats.org/officeDocument/2006/relationships/hyperlink" Id="rId127" Target="https://doi.org/10.1111/mice.70169" TargetMode="External" /><Relationship Type="http://schemas.openxmlformats.org/officeDocument/2006/relationships/hyperlink" Id="rId85" Target="https://doi.org/10.1139/cjce-2017-0132" TargetMode="External" /><Relationship Type="http://schemas.openxmlformats.org/officeDocument/2006/relationships/hyperlink" Id="rId143" Target="https://doi.org/10.1155/2020/8824135" TargetMode="External" /><Relationship Type="http://schemas.openxmlformats.org/officeDocument/2006/relationships/hyperlink" Id="rId113" Target="https://doi.org/10.1155/2023/1827117" TargetMode="External" /><Relationship Type="http://schemas.openxmlformats.org/officeDocument/2006/relationships/hyperlink" Id="rId129" Target="https://doi.org/10.1177/03611981241245991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45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37" Target="https://doi.org/10.3390/app132312862" TargetMode="External" /><Relationship Type="http://schemas.openxmlformats.org/officeDocument/2006/relationships/hyperlink" Id="rId119" Target="https://doi.org/10.3390/app9163221" TargetMode="External" /><Relationship Type="http://schemas.openxmlformats.org/officeDocument/2006/relationships/hyperlink" Id="rId117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1" Target="https://doi.org/10.3390/data3030028" TargetMode="External" /><Relationship Type="http://schemas.openxmlformats.org/officeDocument/2006/relationships/hyperlink" Id="rId89" Target="https://doi.org/10.3390/infrastructures11040127" TargetMode="External" /><Relationship Type="http://schemas.openxmlformats.org/officeDocument/2006/relationships/hyperlink" Id="rId107" Target="https://doi.org/10.3390/infrastructures6020028" TargetMode="External" /><Relationship Type="http://schemas.openxmlformats.org/officeDocument/2006/relationships/hyperlink" Id="rId91" Target="https://doi.org/10.3390/infrastructures8080125" TargetMode="External" /><Relationship Type="http://schemas.openxmlformats.org/officeDocument/2006/relationships/hyperlink" Id="rId111" Target="https://doi.org/10.3390/ma18122913" TargetMode="External" /><Relationship Type="http://schemas.openxmlformats.org/officeDocument/2006/relationships/hyperlink" Id="rId133" Target="https://doi.org/10.3390/s23073772" TargetMode="External" /><Relationship Type="http://schemas.openxmlformats.org/officeDocument/2006/relationships/hyperlink" Id="rId131" Target="https://doi.org/10.3390/su15129617" TargetMode="External" /><Relationship Type="http://schemas.openxmlformats.org/officeDocument/2006/relationships/hyperlink" Id="rId121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s41024-024-00499-z" TargetMode="External" /><Relationship Type="http://schemas.openxmlformats.org/officeDocument/2006/relationships/hyperlink" Id="rId61" Target="https://doi.org/10.1007/s41024-025-00667-9" TargetMode="External" /><Relationship Type="http://schemas.openxmlformats.org/officeDocument/2006/relationships/hyperlink" Id="rId93" Target="https://doi.org/10.1007/s41062-020-00312-z" TargetMode="External" /><Relationship Type="http://schemas.openxmlformats.org/officeDocument/2006/relationships/hyperlink" Id="rId71" Target="https://doi.org/10.1007/s41062-025-02249-7" TargetMode="External" /><Relationship Type="http://schemas.openxmlformats.org/officeDocument/2006/relationships/hyperlink" Id="rId59" Target="https://doi.org/10.1007/s43995-025-00214-0" TargetMode="External" /><Relationship Type="http://schemas.openxmlformats.org/officeDocument/2006/relationships/hyperlink" Id="rId123" Target="https://doi.org/10.1007/s43995-026-00294-6" TargetMode="External" /><Relationship Type="http://schemas.openxmlformats.org/officeDocument/2006/relationships/hyperlink" Id="rId63" Target="https://doi.org/10.1007/s44290-025-00381-y" TargetMode="External" /><Relationship Type="http://schemas.openxmlformats.org/officeDocument/2006/relationships/hyperlink" Id="rId135" Target="https://doi.org/10.1016/j.conbuildmat.2023.133523" TargetMode="External" /><Relationship Type="http://schemas.openxmlformats.org/officeDocument/2006/relationships/hyperlink" Id="rId95" Target="https://doi.org/10.1016/j.conbuildmat.2025.143050" TargetMode="External" /><Relationship Type="http://schemas.openxmlformats.org/officeDocument/2006/relationships/hyperlink" Id="rId105" Target="https://doi.org/10.1016/j.cscm.2022.e00991" TargetMode="External" /><Relationship Type="http://schemas.openxmlformats.org/officeDocument/2006/relationships/hyperlink" Id="rId109" Target="https://doi.org/10.1016/j.eng.2020.07.030" TargetMode="External" /><Relationship Type="http://schemas.openxmlformats.org/officeDocument/2006/relationships/hyperlink" Id="rId125" Target="https://doi.org/10.1016/j.jtte.2016.09.007" TargetMode="External" /><Relationship Type="http://schemas.openxmlformats.org/officeDocument/2006/relationships/hyperlink" Id="rId139" Target="https://doi.org/10.1016/j.jtte.2021.03.005" TargetMode="External" /><Relationship Type="http://schemas.openxmlformats.org/officeDocument/2006/relationships/hyperlink" Id="rId99" Target="https://doi.org/10.1016/j.sandf.2020.02.010" TargetMode="External" /><Relationship Type="http://schemas.openxmlformats.org/officeDocument/2006/relationships/hyperlink" Id="rId77" Target="https://doi.org/10.1038/s41598-022-17429-z" TargetMode="External" /><Relationship Type="http://schemas.openxmlformats.org/officeDocument/2006/relationships/hyperlink" Id="rId97" Target="https://doi.org/10.1038/s41598-024-61313-x" TargetMode="External" /><Relationship Type="http://schemas.openxmlformats.org/officeDocument/2006/relationships/hyperlink" Id="rId115" Target="https://doi.org/10.1038/s41598-024-65547-7" TargetMode="External" /><Relationship Type="http://schemas.openxmlformats.org/officeDocument/2006/relationships/hyperlink" Id="rId83" Target="https://doi.org/10.1038/s41598-024-81311-3" TargetMode="External" /><Relationship Type="http://schemas.openxmlformats.org/officeDocument/2006/relationships/hyperlink" Id="rId79" Target="https://doi.org/10.1109/access.2020.2966881" TargetMode="External" /><Relationship Type="http://schemas.openxmlformats.org/officeDocument/2006/relationships/hyperlink" Id="rId87" Target="https://doi.org/10.1109/access.2020.2991968" TargetMode="External" /><Relationship Type="http://schemas.openxmlformats.org/officeDocument/2006/relationships/hyperlink" Id="rId57" Target="https://doi.org/10.1109/access.2022.3196660" TargetMode="External" /><Relationship Type="http://schemas.openxmlformats.org/officeDocument/2006/relationships/hyperlink" Id="rId141" Target="https://doi.org/10.1109/tits.2022.3161689" TargetMode="External" /><Relationship Type="http://schemas.openxmlformats.org/officeDocument/2006/relationships/hyperlink" Id="rId103" Target="https://doi.org/10.1111/mice.70102" TargetMode="External" /><Relationship Type="http://schemas.openxmlformats.org/officeDocument/2006/relationships/hyperlink" Id="rId127" Target="https://doi.org/10.1111/mice.70169" TargetMode="External" /><Relationship Type="http://schemas.openxmlformats.org/officeDocument/2006/relationships/hyperlink" Id="rId85" Target="https://doi.org/10.1139/cjce-2017-0132" TargetMode="External" /><Relationship Type="http://schemas.openxmlformats.org/officeDocument/2006/relationships/hyperlink" Id="rId143" Target="https://doi.org/10.1155/2020/8824135" TargetMode="External" /><Relationship Type="http://schemas.openxmlformats.org/officeDocument/2006/relationships/hyperlink" Id="rId113" Target="https://doi.org/10.1155/2023/1827117" TargetMode="External" /><Relationship Type="http://schemas.openxmlformats.org/officeDocument/2006/relationships/hyperlink" Id="rId129" Target="https://doi.org/10.1177/03611981241245991" TargetMode="External" /><Relationship Type="http://schemas.openxmlformats.org/officeDocument/2006/relationships/hyperlink" Id="rId81" Target="https://doi.org/10.1186/s43065-023-00082-9" TargetMode="External" /><Relationship Type="http://schemas.openxmlformats.org/officeDocument/2006/relationships/hyperlink" Id="rId65" Target="https://doi.org/10.1186/s44147-025-00623-x" TargetMode="External" /><Relationship Type="http://schemas.openxmlformats.org/officeDocument/2006/relationships/hyperlink" Id="rId73" Target="https://doi.org/10.1186/s44147-025-00706-9" TargetMode="External" /><Relationship Type="http://schemas.openxmlformats.org/officeDocument/2006/relationships/hyperlink" Id="rId145" Target="https://doi.org/10.28991/cej-2025-011-01-06" TargetMode="External" /><Relationship Type="http://schemas.openxmlformats.org/officeDocument/2006/relationships/hyperlink" Id="rId75" Target="https://doi.org/10.32604/cmc.2023.042183" TargetMode="External" /><Relationship Type="http://schemas.openxmlformats.org/officeDocument/2006/relationships/hyperlink" Id="rId137" Target="https://doi.org/10.3390/app132312862" TargetMode="External" /><Relationship Type="http://schemas.openxmlformats.org/officeDocument/2006/relationships/hyperlink" Id="rId119" Target="https://doi.org/10.3390/app9163221" TargetMode="External" /><Relationship Type="http://schemas.openxmlformats.org/officeDocument/2006/relationships/hyperlink" Id="rId117" Target="https://doi.org/10.3390/asi9070133" TargetMode="External" /><Relationship Type="http://schemas.openxmlformats.org/officeDocument/2006/relationships/hyperlink" Id="rId69" Target="https://doi.org/10.3390/constrmater6010006" TargetMode="External" /><Relationship Type="http://schemas.openxmlformats.org/officeDocument/2006/relationships/hyperlink" Id="rId101" Target="https://doi.org/10.3390/data3030028" TargetMode="External" /><Relationship Type="http://schemas.openxmlformats.org/officeDocument/2006/relationships/hyperlink" Id="rId89" Target="https://doi.org/10.3390/infrastructures11040127" TargetMode="External" /><Relationship Type="http://schemas.openxmlformats.org/officeDocument/2006/relationships/hyperlink" Id="rId107" Target="https://doi.org/10.3390/infrastructures6020028" TargetMode="External" /><Relationship Type="http://schemas.openxmlformats.org/officeDocument/2006/relationships/hyperlink" Id="rId91" Target="https://doi.org/10.3390/infrastructures8080125" TargetMode="External" /><Relationship Type="http://schemas.openxmlformats.org/officeDocument/2006/relationships/hyperlink" Id="rId111" Target="https://doi.org/10.3390/ma18122913" TargetMode="External" /><Relationship Type="http://schemas.openxmlformats.org/officeDocument/2006/relationships/hyperlink" Id="rId133" Target="https://doi.org/10.3390/s23073772" TargetMode="External" /><Relationship Type="http://schemas.openxmlformats.org/officeDocument/2006/relationships/hyperlink" Id="rId131" Target="https://doi.org/10.3390/su15129617" TargetMode="External" /><Relationship Type="http://schemas.openxmlformats.org/officeDocument/2006/relationships/hyperlink" Id="rId121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2026-08-09T14:49:32Z</dcterms:created>
  <dcterms:modified xsi:type="dcterms:W3CDTF">2026-08-09T14:49:32Z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