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Hybridisation Pay? A Systematic Review of Metaheuristic Optimisation and Machine Learning Hybrids in Pavement Engineering (2005–2026)</w:t>
      </w:r>
    </w:p>
    <w:p>
      <w:pPr>
        <w:pStyle w:val="Author"/>
      </w:pPr>
      <w:r>
        <w:t xml:space="preserve">Seyed Saber Naseralavi</w:t>
      </w:r>
    </w:p>
    <w:p>
      <w:pPr>
        <w:pStyle w:val="Author"/>
      </w:pPr>
      <w:r>
        <w:t xml:space="preserve">Ali Reza Ghanizadeh</w:t>
      </w:r>
    </w:p>
    <w:p>
      <w:pPr>
        <w:pStyle w:val="Date"/>
      </w:pPr>
      <w:r>
        <w:t xml:space="preserve">2026-08-09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PLACEHOLDER — structured abstract, ~280 words, written last so that every</w:t>
      </w:r>
      <w:r>
        <w:t xml:space="preserve"> </w:t>
      </w:r>
      <w:r>
        <w:t xml:space="preserve">number in it traces to the audit. Do not draft this before Section 9 is final.</w:t>
      </w:r>
    </w:p>
    <w:p>
      <w:pPr>
        <w:pStyle w:val="BlockText"/>
      </w:pPr>
      <w:r>
        <w:rPr>
          <w:b/>
          <w:bCs/>
        </w:rPr>
        <w:t xml:space="preserve">Draft status.</w:t>
      </w:r>
      <w:r>
        <w:t xml:space="preserve"> </w:t>
      </w:r>
      <w:r>
        <w:t xml:space="preserve">This file renders to PDF, Word and HTML from one source.</w:t>
      </w:r>
      <w:r>
        <w:t xml:space="preserve"> </w:t>
      </w:r>
      <w:r>
        <w:t xml:space="preserve">Sections marked</w:t>
      </w:r>
      <w:r>
        <w:t xml:space="preserve"> </w:t>
      </w:r>
      <w:r>
        <w:rPr>
          <w:i/>
          <w:iCs/>
        </w:rPr>
        <w:t xml:space="preserve">PLACEHOLDER</w:t>
      </w:r>
      <w:r>
        <w:t xml:space="preserve"> </w:t>
      </w:r>
      <w:r>
        <w:t xml:space="preserve">are not yet written. Every citation resolves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which is generated from</w:t>
      </w:r>
      <w:r>
        <w:t xml:space="preserve"> </w:t>
      </w:r>
      <w:r>
        <w:rPr>
          <w:rStyle w:val="VerbatimChar"/>
        </w:rPr>
        <w:t xml:space="preserve">data/seed_bibliography.csv</w:t>
      </w:r>
      <w:r>
        <w:t xml:space="preserve">; a citation key that is not in the verified</w:t>
      </w:r>
      <w:r>
        <w:t xml:space="preserve"> </w:t>
      </w:r>
      <w:r>
        <w:t xml:space="preserve">database fails the render rather than passing silently.</w:t>
      </w:r>
    </w:p>
    <w:bookmarkStart w:id="15" w:name="sec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Pavement engineering has, over the past decade, adopted a specific and recurring</w:t>
      </w:r>
      <w:r>
        <w:t xml:space="preserve"> </w:t>
      </w:r>
      <w:r>
        <w:t xml:space="preserve">rhetorical move: an optimisation algorithm is coupled to a learning model, the</w:t>
      </w:r>
      <w:r>
        <w:t xml:space="preserve"> </w:t>
      </w:r>
      <w:r>
        <w:t xml:space="preserve">coupled system is shown to out-predict some comparator, and the coupling itself is</w:t>
      </w:r>
      <w:r>
        <w:t xml:space="preserve"> </w:t>
      </w:r>
      <w:r>
        <w:t xml:space="preserve">offered as the paper’s contribution. Grey wolf optimisers, whale optimisation,</w:t>
      </w:r>
      <w:r>
        <w:t xml:space="preserve"> </w:t>
      </w:r>
      <w:r>
        <w:t xml:space="preserve">teaching-learning-based optimisation, forensic-based investigation, dipper-throated</w:t>
      </w:r>
      <w:r>
        <w:t xml:space="preserve"> </w:t>
      </w:r>
      <w:r>
        <w:t xml:space="preserve">optimisation and dozens of similarly named metaheuristics have each, in turn, been</w:t>
      </w:r>
      <w:r>
        <w:t xml:space="preserve"> </w:t>
      </w:r>
      <w:r>
        <w:t xml:space="preserve">married to a neural network, a support vector machine, an extreme learning machine</w:t>
      </w:r>
      <w:r>
        <w:t xml:space="preserve"> </w:t>
      </w:r>
      <w:r>
        <w:t xml:space="preserve">or a gradient-boosted ensemble, and the resulting hybrid reported as an advance over</w:t>
      </w:r>
      <w:r>
        <w:t xml:space="preserve"> </w:t>
      </w:r>
      <w:r>
        <w:t xml:space="preserve">the base learner alone. The pattern is now common enough that</w:t>
      </w:r>
      <w:r>
        <w:t xml:space="preserve"> </w:t>
      </w:r>
      <w:r>
        <w:t xml:space="preserve">“hybrid”</w:t>
      </w:r>
      <w:r>
        <w:t xml:space="preserve"> </w:t>
      </w:r>
      <w:r>
        <w:t xml:space="preserve">is arguably</w:t>
      </w:r>
      <w:r>
        <w:t xml:space="preserve"> </w:t>
      </w:r>
      <w:r>
        <w:t xml:space="preserve">the single most frequent claim of novelty in the data-driven pavement literature of</w:t>
      </w:r>
      <w:r>
        <w:t xml:space="preserve"> </w:t>
      </w:r>
      <w:r>
        <w:t xml:space="preserve">the 2020s.</w:t>
      </w:r>
    </w:p>
    <w:p>
      <w:pPr>
        <w:pStyle w:val="BodyText"/>
      </w:pPr>
      <w:r>
        <w:t xml:space="preserve">This review asks a question that the pattern itself rarely answers:</w:t>
      </w:r>
      <w:r>
        <w:t xml:space="preserve"> </w:t>
      </w:r>
      <w:r>
        <w:rPr>
          <w:b/>
          <w:bCs/>
        </w:rPr>
        <w:t xml:space="preserve">relative to</w:t>
      </w:r>
      <w:r>
        <w:rPr>
          <w:b/>
          <w:bCs/>
        </w:rPr>
        <w:t xml:space="preserve"> </w:t>
      </w:r>
      <w:r>
        <w:rPr>
          <w:b/>
          <w:bCs/>
        </w:rPr>
        <w:t xml:space="preserve">what, exactly, is the hybrid better?</w:t>
      </w:r>
      <w:r>
        <w:t xml:space="preserve"> </w:t>
      </w:r>
      <w:r>
        <w:t xml:space="preserve">A hybrid model is compared, almost without</w:t>
      </w:r>
      <w:r>
        <w:t xml:space="preserve"> </w:t>
      </w:r>
      <w:r>
        <w:t xml:space="preserve">exception, against a base learner running with default or lightly-adjusted settings.</w:t>
      </w:r>
      <w:r>
        <w:t xml:space="preserve"> </w:t>
      </w:r>
      <w:r>
        <w:t xml:space="preserve">It is compared far more rarely against the same base learner tuned by a conventional</w:t>
      </w:r>
      <w:r>
        <w:t xml:space="preserve"> </w:t>
      </w:r>
      <w:r>
        <w:t xml:space="preserve">procedure under a comparable search budget — the baseline that would isolate what</w:t>
      </w:r>
      <w:r>
        <w:t xml:space="preserve"> </w:t>
      </w:r>
      <w:r>
        <w:t xml:space="preserve">the metaheuristic actually contributed. Where that comparison has been made, in the</w:t>
      </w:r>
      <w:r>
        <w:t xml:space="preserve"> </w:t>
      </w:r>
      <w:r>
        <w:t xml:space="preserve">small number of cases we have located so far, the hybrid’s advantage over a properly</w:t>
      </w:r>
      <w:r>
        <w:t xml:space="preserve"> </w:t>
      </w:r>
      <w:r>
        <w:t xml:space="preserve">tuned baseline shrinks, and sometimes reverses. Zeiada et al.</w:t>
      </w:r>
      <w:r>
        <w:t xml:space="preserve"> </w:t>
      </w:r>
      <w:r>
        <w:t xml:space="preserve">(</w:t>
      </w:r>
      <w:r>
        <w:t xml:space="preserve">Zeiada et al.</w:t>
      </w:r>
      <w:r>
        <w:t xml:space="preserve">, 2025)</w:t>
      </w:r>
      <w:r>
        <w:t xml:space="preserve"> </w:t>
      </w:r>
      <w:r>
        <w:t xml:space="preserve">individually tuned eight learners, including deep</w:t>
      </w:r>
      <w:r>
        <w:t xml:space="preserve"> </w:t>
      </w:r>
      <w:r>
        <w:t xml:space="preserve">architectures, against the Witczak and Hirsch mechanistic models for asphalt dynamic</w:t>
      </w:r>
      <w:r>
        <w:t xml:space="preserve"> </w:t>
      </w:r>
      <w:r>
        <w:t xml:space="preserve">modulus; the winner was a tuned bagging ensemble, not a hybrid and not a deep</w:t>
      </w:r>
      <w:r>
        <w:t xml:space="preserve"> </w:t>
      </w:r>
      <w:r>
        <w:t xml:space="preserve">network. Azam et al.</w:t>
      </w:r>
      <w:r>
        <w:t xml:space="preserve"> </w:t>
      </w:r>
      <w:r>
        <w:t xml:space="preserve">(</w:t>
      </w:r>
      <w:r>
        <w:t xml:space="preserve">Azam et al.</w:t>
      </w:r>
      <w:r>
        <w:t xml:space="preserve">, 2022)</w:t>
      </w:r>
      <w:r>
        <w:t xml:space="preserve"> </w:t>
      </w:r>
      <w:r>
        <w:t xml:space="preserve">compared six swarm-optimised variants of</w:t>
      </w:r>
      <w:r>
        <w:t xml:space="preserve"> </w:t>
      </w:r>
      <w:r>
        <w:t xml:space="preserve">one base learner against each other and report top-three results within a fraction</w:t>
      </w:r>
      <w:r>
        <w:t xml:space="preserve"> </w:t>
      </w:r>
      <w:r>
        <w:t xml:space="preserve">of a percentage point of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— a separation well inside what a different random</w:t>
      </w:r>
      <w:r>
        <w:t xml:space="preserve"> </w:t>
      </w:r>
      <w:r>
        <w:t xml:space="preserve">seed would produce — but never against a conventionally tuned version of the same</w:t>
      </w:r>
      <w:r>
        <w:t xml:space="preserve"> </w:t>
      </w:r>
      <w:r>
        <w:t xml:space="preserve">learner, so no premium can be read from the paper at all. These two studies, sitting</w:t>
      </w:r>
      <w:r>
        <w:t xml:space="preserve"> </w:t>
      </w:r>
      <w:r>
        <w:t xml:space="preserve">side by side in the same sub-field, illustrate the gap this review sets out to</w:t>
      </w:r>
      <w:r>
        <w:t xml:space="preserve"> </w:t>
      </w:r>
      <w:r>
        <w:t xml:space="preserve">measure at scale:</w:t>
      </w:r>
      <w:r>
        <w:t xml:space="preserve"> </w:t>
      </w:r>
      <w:r>
        <w:rPr>
          <w:b/>
          <w:bCs/>
        </w:rPr>
        <w:t xml:space="preserve">how often is the hybridisation premium — the gain attributable</w:t>
      </w:r>
      <w:r>
        <w:rPr>
          <w:b/>
          <w:bCs/>
        </w:rPr>
        <w:t xml:space="preserve"> </w:t>
      </w:r>
      <w:r>
        <w:rPr>
          <w:b/>
          <w:bCs/>
        </w:rPr>
        <w:t xml:space="preserve">to the coupling itself, over a fairly tuned baseline — actually reported, and how</w:t>
      </w:r>
      <w:r>
        <w:rPr>
          <w:b/>
          <w:bCs/>
        </w:rPr>
        <w:t xml:space="preserve"> </w:t>
      </w:r>
      <w:r>
        <w:rPr>
          <w:b/>
          <w:bCs/>
        </w:rPr>
        <w:t xml:space="preserve">large is it when it is?</w:t>
      </w:r>
    </w:p>
    <w:p>
      <w:pPr>
        <w:pStyle w:val="BodyText"/>
      </w:pPr>
      <w:r>
        <w:t xml:space="preserve">Answering this requires solving a prior problem, which turns out to be nontrivial in</w:t>
      </w:r>
      <w:r>
        <w:t xml:space="preserve"> </w:t>
      </w:r>
      <w:r>
        <w:t xml:space="preserve">its own right:</w:t>
      </w:r>
      <w:r>
        <w:t xml:space="preserve"> </w:t>
      </w:r>
      <w:r>
        <w:rPr>
          <w:b/>
          <w:bCs/>
        </w:rPr>
        <w:t xml:space="preserve">finding the studies.</w:t>
      </w:r>
      <w:r>
        <w:t xml:space="preserve"> </w:t>
      </w:r>
      <w:r>
        <w:t xml:space="preserve">A literature search built on the word</w:t>
      </w:r>
      <w:r>
        <w:t xml:space="preserve"> </w:t>
      </w:r>
      <w:r>
        <w:t xml:space="preserve">“hybrid”</w:t>
      </w:r>
      <w:r>
        <w:t xml:space="preserve"> </w:t>
      </w:r>
      <w:r>
        <w:t xml:space="preserve">misses a substantial share of the relevant work, because many qualifying</w:t>
      </w:r>
      <w:r>
        <w:t xml:space="preserve"> </w:t>
      </w:r>
      <w:r>
        <w:t xml:space="preserve">studies describe themselves with the vocabulary of optimisation rather than of</w:t>
      </w:r>
      <w:r>
        <w:t xml:space="preserve"> </w:t>
      </w:r>
      <w:r>
        <w:t xml:space="preserve">hybridity —</w:t>
      </w:r>
      <w:r>
        <w:t xml:space="preserve"> </w:t>
      </w:r>
      <w:r>
        <w:t xml:space="preserve">“optimised”</w:t>
      </w:r>
      <w:r>
        <w:t xml:space="preserve">,</w:t>
      </w:r>
      <w:r>
        <w:t xml:space="preserve"> </w:t>
      </w:r>
      <w:r>
        <w:t xml:space="preserve">“improved”</w:t>
      </w:r>
      <w:r>
        <w:t xml:space="preserve">,</w:t>
      </w:r>
      <w:r>
        <w:t xml:space="preserve"> </w:t>
      </w:r>
      <w:r>
        <w:t xml:space="preserve">“novel X–Y”</w:t>
      </w:r>
      <w:r>
        <w:t xml:space="preserve"> </w:t>
      </w:r>
      <w:r>
        <w:t xml:space="preserve">or simply the two</w:t>
      </w:r>
      <w:r>
        <w:t xml:space="preserve"> </w:t>
      </w:r>
      <w:r>
        <w:t xml:space="preserve">algorithm names side by side. Alhussan et al.’s dipper-throated-optimisation random</w:t>
      </w:r>
      <w:r>
        <w:t xml:space="preserve"> </w:t>
      </w:r>
      <w:r>
        <w:t xml:space="preserve">forest for pothole classification is a case in point: widely cited, structurally a</w:t>
      </w:r>
      <w:r>
        <w:t xml:space="preserve"> </w:t>
      </w:r>
      <w:r>
        <w:t xml:space="preserve">textbook metaheuristic-on-learner hybrid, and retrievable by a search on algorithm</w:t>
      </w:r>
      <w:r>
        <w:t xml:space="preserve"> </w:t>
      </w:r>
      <w:r>
        <w:t xml:space="preserve">names but not reliably by a search on the word</w:t>
      </w:r>
      <w:r>
        <w:t xml:space="preserve"> </w:t>
      </w:r>
      <w:r>
        <w:t xml:space="preserve">“hybrid”</w:t>
      </w:r>
      <w:r>
        <w:t xml:space="preserve"> </w:t>
      </w:r>
      <w:r>
        <w:t xml:space="preserve">itself. Section 2 describes</w:t>
      </w:r>
      <w:r>
        <w:t xml:space="preserve"> </w:t>
      </w:r>
      <w:r>
        <w:t xml:space="preserve">the algorithm-driven search design this observation motivates, and reports, as one</w:t>
      </w:r>
      <w:r>
        <w:t xml:space="preserve"> </w:t>
      </w:r>
      <w:r>
        <w:t xml:space="preserve">of the review’s descriptive findings, what share of the eligible literature would</w:t>
      </w:r>
      <w:r>
        <w:t xml:space="preserve"> </w:t>
      </w:r>
      <w:r>
        <w:t xml:space="preserve">have been missed by a label-driven search alone.</w:t>
      </w:r>
    </w:p>
    <w:bookmarkStart w:id="13" w:name="X6ee904cdafc3543bdd85ad1faefb7271df286c4"/>
    <w:p>
      <w:pPr>
        <w:pStyle w:val="Heading2"/>
      </w:pPr>
      <w:r>
        <w:t xml:space="preserve">1.1 Positioning relative to the existing review literature</w:t>
      </w:r>
    </w:p>
    <w:p>
      <w:pPr>
        <w:pStyle w:val="FirstParagraph"/>
      </w:pPr>
      <w:r>
        <w:t xml:space="preserve">Prior reviews of artificial-intelligence methods in pavement engineering are</w:t>
      </w:r>
      <w:r>
        <w:t xml:space="preserve"> </w:t>
      </w:r>
      <w:r>
        <w:t xml:space="preserve">numerous but occupy different territory, summarised in</w:t>
      </w:r>
      <w:r>
        <w:t xml:space="preserve"> </w:t>
      </w:r>
      <w:hyperlink w:anchor="fig-coverage">
        <w:r>
          <w:rPr>
            <w:rStyle w:val="Hyperlink"/>
          </w:rPr>
          <w:t xml:space="preserve">Figure 1</w:t>
        </w:r>
      </w:hyperlink>
      <w:r>
        <w:t xml:space="preserve">. The most</w:t>
      </w:r>
      <w:r>
        <w:t xml:space="preserve"> </w:t>
      </w:r>
      <w:r>
        <w:t xml:space="preserve">direct predecessor, Yang et al.</w:t>
      </w:r>
      <w:r>
        <w:t xml:space="preserve"> </w:t>
      </w:r>
      <w:r>
        <w:t xml:space="preserve">(</w:t>
      </w:r>
      <w:r>
        <w:t xml:space="preserve">Yang et al.</w:t>
      </w:r>
      <w:r>
        <w:t xml:space="preserve">, 2021)</w:t>
      </w:r>
      <w:r>
        <w:t xml:space="preserve">, catalogues where neural</w:t>
      </w:r>
      <w:r>
        <w:t xml:space="preserve"> </w:t>
      </w:r>
      <w:r>
        <w:t xml:space="preserve">networks have been applied across the pavement lifecycle; it stops at the</w:t>
      </w:r>
      <w:r>
        <w:t xml:space="preserve"> </w:t>
      </w:r>
      <w:r>
        <w:t xml:space="preserve">MLP/CNN/RNN generation and does not treat hybridisation, optimisation coupling or</w:t>
      </w:r>
      <w:r>
        <w:t xml:space="preserve"> </w:t>
      </w:r>
      <w:r>
        <w:t xml:space="preserve">methodological rigour as organising questions. Domain-specific vision surveys</w:t>
      </w:r>
      <w:r>
        <w:t xml:space="preserve"> </w:t>
      </w:r>
      <w:r>
        <w:t xml:space="preserve">(Cao et al., 2020; Gopalakrishnan, 2018;</w:t>
      </w:r>
      <w:r>
        <w:t xml:space="preserve"> </w:t>
      </w:r>
      <w:r>
        <w:t xml:space="preserve">Hou et al.</w:t>
      </w:r>
      <w:r>
        <w:t xml:space="preserve">, 2020)</w:t>
      </w:r>
      <w:r>
        <w:t xml:space="preserve"> </w:t>
      </w:r>
      <w:r>
        <w:t xml:space="preserve">cover distress</w:t>
      </w:r>
      <w:r>
        <w:t xml:space="preserve"> </w:t>
      </w:r>
      <w:r>
        <w:t xml:space="preserve">detection in depth but do not extend to materials, structural evaluation or</w:t>
      </w:r>
      <w:r>
        <w:t xml:space="preserve"> </w:t>
      </w:r>
      <w:r>
        <w:t xml:space="preserve">network-level decisions. Three very recent contributions come closer to the</w:t>
      </w:r>
      <w:r>
        <w:t xml:space="preserve"> </w:t>
      </w:r>
      <w:r>
        <w:t xml:space="preserve">diagnosis this review develops, and each must be distinguished on its own terms</w:t>
      </w:r>
      <w:r>
        <w:t xml:space="preserve"> </w:t>
      </w:r>
      <w:r>
        <w:t xml:space="preserve">rather than folded quietly into a single</w:t>
      </w:r>
      <w:r>
        <w:t xml:space="preserve"> </w:t>
      </w:r>
      <w:r>
        <w:t xml:space="preserve">“gap”</w:t>
      </w:r>
      <w:r>
        <w:t xml:space="preserve"> </w:t>
      </w:r>
      <w:r>
        <w:t xml:space="preserve">claim. Tamagusko and Ferreira name</w:t>
      </w:r>
      <w:r>
        <w:t xml:space="preserve"> </w:t>
      </w:r>
      <w:r>
        <w:t xml:space="preserve">standardisation, interpretability and replicability as open problems specifically</w:t>
      </w:r>
      <w:r>
        <w:t xml:space="preserve"> </w:t>
      </w:r>
      <w:r>
        <w:t xml:space="preserve">for roughness prediction on flexible pavements. M’harzi Alaoui et al.</w:t>
      </w:r>
      <w:r>
        <w:t xml:space="preserve"> </w:t>
      </w:r>
      <w:r>
        <w:t xml:space="preserve">(</w:t>
      </w:r>
      <w:r>
        <w:t xml:space="preserve">M’harzi Alaoui et al.</w:t>
      </w:r>
      <w:r>
        <w:t xml:space="preserve">, 2026)</w:t>
      </w:r>
      <w:r>
        <w:t xml:space="preserve"> </w:t>
      </w:r>
      <w:r>
        <w:t xml:space="preserve">describe an</w:t>
      </w:r>
      <w:r>
        <w:t xml:space="preserve"> </w:t>
      </w:r>
      <w:r>
        <w:t xml:space="preserve">“interpretability paradox”</w:t>
      </w:r>
      <w:r>
        <w:t xml:space="preserve"> </w:t>
      </w:r>
      <w:r>
        <w:t xml:space="preserve">and a</w:t>
      </w:r>
      <w:r>
        <w:t xml:space="preserve"> </w:t>
      </w:r>
      <w:r>
        <w:t xml:space="preserve">lab-to-field gap across 180 soil-stabilisation studies. Closest of all, Jweihan</w:t>
      </w:r>
      <w:r>
        <w:t xml:space="preserve"> </w:t>
      </w:r>
      <w:r>
        <w:t xml:space="preserve">(Jweihan, 2026)</w:t>
      </w:r>
      <w:r>
        <w:t xml:space="preserve"> </w:t>
      </w:r>
      <w:r>
        <w:t xml:space="preserve">conducts a PRISMA-ScR scoping review of 163 studies on</w:t>
      </w:r>
      <w:r>
        <w:t xml:space="preserve"> </w:t>
      </w:r>
      <w:r>
        <w:t xml:space="preserve">explainable and interpretable machine learning specifically in asphalt pavement</w:t>
      </w:r>
      <w:r>
        <w:t xml:space="preserve"> </w:t>
      </w:r>
      <w:r>
        <w:t xml:space="preserve">engineering, and proposes a five-layer appraisal framework — data provenance, model</w:t>
      </w:r>
      <w:r>
        <w:t xml:space="preserve"> </w:t>
      </w:r>
      <w:r>
        <w:t xml:space="preserve">performance, explanation quality, physical plausibility, decision utility — that</w:t>
      </w:r>
      <w:r>
        <w:t xml:space="preserve"> </w:t>
      </w:r>
      <w:r>
        <w:t xml:space="preserve">overlaps conceptually with more than one domain of the instrument this review</w:t>
      </w:r>
      <w:r>
        <w:t xml:space="preserve"> </w:t>
      </w:r>
      <w:r>
        <w:t xml:space="preserve">proposes in §10. The honest distinction is not that this territory is unoccupied;</w:t>
      </w:r>
      <w:r>
        <w:t xml:space="preserve"> </w:t>
      </w:r>
      <w:r>
        <w:t xml:space="preserve">it is that Jweihan’s review is organised around explainability as the object of</w:t>
      </w:r>
      <w:r>
        <w:t xml:space="preserve"> </w:t>
      </w:r>
      <w:r>
        <w:t xml:space="preserve">study and conducted at scoping-review depth (breadth of coverage, not per-study</w:t>
      </w:r>
      <w:r>
        <w:t xml:space="preserve"> </w:t>
      </w:r>
      <w:r>
        <w:t xml:space="preserve">methodological coding), whereas the present review is organised around</w:t>
      </w:r>
      <w:r>
        <w:t xml:space="preserve"> </w:t>
      </w:r>
      <w:r>
        <w:t xml:space="preserve">hybridisation — the optimiser-learner coupling itself — as the object of study, uses</w:t>
      </w:r>
      <w:r>
        <w:t xml:space="preserve"> </w:t>
      </w:r>
      <w:r>
        <w:t xml:space="preserve">a full systematic protocol with per-study rigour coding (leakage risk, external</w:t>
      </w:r>
      <w:r>
        <w:t xml:space="preserve"> </w:t>
      </w:r>
      <w:r>
        <w:t xml:space="preserve">validation, baseline strength, search-budget parity), and reports the coded audit</w:t>
      </w:r>
      <w:r>
        <w:t xml:space="preserve"> </w:t>
      </w:r>
      <w:r>
        <w:t xml:space="preserve">as a quantified premium rather than as a coverage synthesis. Interpretability is one</w:t>
      </w:r>
      <w:r>
        <w:t xml:space="preserve"> </w:t>
      </w:r>
      <w:r>
        <w:t xml:space="preserve">of several PAVE-ML domains in this review, not its organising question; the two</w:t>
      </w:r>
      <w:r>
        <w:t xml:space="preserve"> </w:t>
      </w:r>
      <w:r>
        <w:t xml:space="preserve">instruments are complementary rather than competing, and §10 states explicitly</w:t>
      </w:r>
      <w:r>
        <w:t xml:space="preserve"> </w:t>
      </w:r>
      <w:r>
        <w:t xml:space="preserve">where PAVE-ML’s interpretability items and Jweihan’s five-layer framework agree and</w:t>
      </w:r>
      <w:r>
        <w:t xml:space="preserve"> </w:t>
      </w:r>
      <w:r>
        <w:t xml:space="preserve">where they diverge. What none of these three contributions does — and what remains</w:t>
      </w:r>
      <w:r>
        <w:t xml:space="preserve"> </w:t>
      </w:r>
      <w:r>
        <w:t xml:space="preserve">this review’s distinguishing claim — is define hybridity structurally rather than</w:t>
      </w:r>
      <w:r>
        <w:t xml:space="preserve"> </w:t>
      </w:r>
      <w:r>
        <w:t xml:space="preserve">lexically so that algorithm-vocabulary studies are not missed, code a consistent</w:t>
      </w:r>
      <w:r>
        <w:t xml:space="preserve"> </w:t>
      </w:r>
      <w:r>
        <w:t xml:space="preserve">rigour rubric across the full range of pavement sub-domains rather than one at a</w:t>
      </w:r>
      <w:r>
        <w:t xml:space="preserve"> </w:t>
      </w:r>
      <w:r>
        <w:t xml:space="preserve">time, and convert the resulting evidence into a quantified premium and a reusable</w:t>
      </w:r>
      <w:r>
        <w:t xml:space="preserve"> </w:t>
      </w:r>
      <w:r>
        <w:t xml:space="preserve">reporting instrument built around that specific construct.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coverage"/>
          <w:p>
            <w:pPr>
              <w:pStyle w:val="Compact"/>
              <w:jc w:val="center"/>
            </w:pPr>
            <w:r>
              <w:drawing>
                <wp:inline>
                  <wp:extent cx="5334000" cy="2728066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figures/fig01_coverage_ga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8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Coverage of the prior review literature on artificial-intelligence methods in</w:t>
            </w:r>
            <w:r>
              <w:t xml:space="preserve"> </w:t>
            </w:r>
            <w:r>
              <w:t xml:space="preserve">pavement engineering. Scoring: 2 = substantive dedicated treatment, 1 = touched in</w:t>
            </w:r>
            <w:r>
              <w:t xml:space="preserve"> </w:t>
            </w:r>
            <w:r>
              <w:t xml:space="preserve">passing, 0 = absent.</w:t>
            </w:r>
            <w:r>
              <w:t xml:space="preserve"> </w:t>
            </w:r>
            <w:r>
              <w:t xml:space="preserve">“This review”</w:t>
            </w:r>
            <w:r>
              <w:t xml:space="preserve"> </w:t>
            </w:r>
            <w:r>
              <w:t xml:space="preserve">is scored on stated scope, to be verified against</w:t>
            </w:r>
            <w:r>
              <w:t xml:space="preserve"> </w:t>
            </w:r>
            <w:r>
              <w:t xml:space="preserve">the completed manuscript at</w:t>
            </w:r>
            <w:r>
              <w:t xml:space="preserve"> </w:t>
            </w:r>
            <w:r>
              <w:t xml:space="preserve">submission.</w:t>
            </w:r>
          </w:p>
          <w:bookmarkEnd w:id="12"/>
        </w:tc>
      </w:tr>
    </w:tbl>
    <w:bookmarkEnd w:id="13"/>
    <w:bookmarkStart w:id="14" w:name="contributions"/>
    <w:p>
      <w:pPr>
        <w:pStyle w:val="Heading2"/>
      </w:pPr>
      <w:r>
        <w:t xml:space="preserve">1.2 Contributions</w:t>
      </w:r>
    </w:p>
    <w:p>
      <w:pPr>
        <w:pStyle w:val="FirstParagraph"/>
      </w:pPr>
      <w:r>
        <w:t xml:space="preserve">This review makes four contributions. First, a</w:t>
      </w:r>
      <w:r>
        <w:t xml:space="preserve"> </w:t>
      </w:r>
      <w:r>
        <w:rPr>
          <w:b/>
          <w:bCs/>
        </w:rPr>
        <w:t xml:space="preserve">structural rather than lexical</w:t>
      </w:r>
      <w:r>
        <w:t xml:space="preserve"> </w:t>
      </w:r>
      <w:r>
        <w:t xml:space="preserve">definition of hybridity (§2.3) and an algorithm-driven search protocol built to</w:t>
      </w:r>
      <w:r>
        <w:t xml:space="preserve"> </w:t>
      </w:r>
      <w:r>
        <w:t xml:space="preserve">retrieve studies regardless of how their authors chose to describe them. Second, a</w:t>
      </w:r>
      <w:r>
        <w:t xml:space="preserve"> </w:t>
      </w:r>
      <w:r>
        <w:rPr>
          <w:b/>
          <w:bCs/>
        </w:rPr>
        <w:t xml:space="preserve">taxonomy of seven hybridisation types</w:t>
      </w:r>
      <w:r>
        <w:t xml:space="preserve"> </w:t>
      </w:r>
      <w:r>
        <w:t xml:space="preserve">(H1–H7, §4), each with a stated</w:t>
      </w:r>
      <w:r>
        <w:t xml:space="preserve"> </w:t>
      </w:r>
      <w:r>
        <w:t xml:space="preserve">theoretical justification and a characteristic failure mode, replacing the field’s</w:t>
      </w:r>
      <w:r>
        <w:t xml:space="preserve"> </w:t>
      </w:r>
      <w:r>
        <w:t xml:space="preserve">undifferentiated use of</w:t>
      </w:r>
      <w:r>
        <w:t xml:space="preserve"> </w:t>
      </w:r>
      <w:r>
        <w:t xml:space="preserve">“hybrid”</w:t>
      </w:r>
      <w:r>
        <w:t xml:space="preserve"> </w:t>
      </w:r>
      <w:r>
        <w:t xml:space="preserve">as a single label. Third, an empirical estimate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hybridisation premium</w:t>
      </w:r>
      <w:r>
        <w:t xml:space="preserve"> </w:t>
      </w:r>
      <w:r>
        <w:t xml:space="preserve">— the performance gain attributable to hybridisation</w:t>
      </w:r>
      <w:r>
        <w:t xml:space="preserve"> </w:t>
      </w:r>
      <w:r>
        <w:t xml:space="preserve">once the comparison is made against a fairly tuned baseline — reported as a</w:t>
      </w:r>
      <w:r>
        <w:t xml:space="preserve"> </w:t>
      </w:r>
      <w:r>
        <w:t xml:space="preserve">distribution across the coded corpus rather than as a single number, since most</w:t>
      </w:r>
      <w:r>
        <w:t xml:space="preserve"> </w:t>
      </w:r>
      <w:r>
        <w:t xml:space="preserve">studies do not report the comparison required to compute it at all (§9). Fourth, a</w:t>
      </w:r>
      <w:r>
        <w:t xml:space="preserve"> </w:t>
      </w:r>
      <w:r>
        <w:t xml:space="preserve">reporting and appraisal instrument,</w:t>
      </w:r>
      <w:r>
        <w:t xml:space="preserve"> </w:t>
      </w:r>
      <w:r>
        <w:rPr>
          <w:b/>
          <w:bCs/>
        </w:rPr>
        <w:t xml:space="preserve">PAVE-ML</w:t>
      </w:r>
      <w:r>
        <w:t xml:space="preserve">, extending a general</w:t>
      </w:r>
      <w:r>
        <w:t xml:space="preserve"> </w:t>
      </w:r>
      <w:r>
        <w:t xml:space="preserve">data-driven-pavement-model checklist with four items specific to hybrid pipelines</w:t>
      </w:r>
      <w:r>
        <w:t xml:space="preserve"> </w:t>
      </w:r>
      <w:r>
        <w:t xml:space="preserve">(§10), so that the next study in this field can report what this review finds</w:t>
      </w:r>
      <w:r>
        <w:t xml:space="preserve"> </w:t>
      </w:r>
      <w:r>
        <w:t xml:space="preserve">missing from most of the last two decades of it.</w:t>
      </w:r>
    </w:p>
    <w:bookmarkEnd w:id="14"/>
    <w:bookmarkEnd w:id="15"/>
    <w:bookmarkStart w:id="20" w:name="sec-method"/>
    <w:p>
      <w:pPr>
        <w:pStyle w:val="Heading1"/>
      </w:pPr>
      <w:r>
        <w:t xml:space="preserve">2. Review methodology</w:t>
      </w:r>
    </w:p>
    <w:p>
      <w:pPr>
        <w:pStyle w:val="FirstParagraph"/>
      </w:pPr>
      <w:r>
        <w:rPr>
          <w:i/>
          <w:iCs/>
        </w:rPr>
        <w:t xml:space="preserve">Full draft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docs/02_MANUSCRIPT_S2_methodology.md</w:t>
      </w:r>
      <w:r>
        <w:rPr>
          <w:i/>
          <w:iCs/>
        </w:rPr>
        <w:t xml:space="preserve">; transferred here section by</w:t>
      </w:r>
      <w:r>
        <w:rPr>
          <w:i/>
          <w:iCs/>
        </w:rPr>
        <w:t xml:space="preserve"> </w:t>
      </w:r>
      <w:r>
        <w:rPr>
          <w:i/>
          <w:iCs/>
        </w:rPr>
        <w:t xml:space="preserve">section as each is finalised.</w:t>
      </w:r>
    </w:p>
    <w:bookmarkStart w:id="16" w:name="scope-and-framing-question"/>
    <w:p>
      <w:pPr>
        <w:pStyle w:val="Heading2"/>
      </w:pPr>
      <w:r>
        <w:t xml:space="preserve">2.1 Scope and framing question</w:t>
      </w:r>
    </w:p>
    <w:p>
      <w:pPr>
        <w:pStyle w:val="FirstParagraph"/>
      </w:pPr>
      <w:r>
        <w:t xml:space="preserve">This review asks how much of the performance gain attributed to hybridisation in</w:t>
      </w:r>
      <w:r>
        <w:t xml:space="preserve"> </w:t>
      </w:r>
      <w:r>
        <w:t xml:space="preserve">the pavement literature survives a fair comparison against a properly tuned base</w:t>
      </w:r>
      <w:r>
        <w:t xml:space="preserve"> </w:t>
      </w:r>
      <w:r>
        <w:t xml:space="preserve">learner. The question differs from</w:t>
      </w:r>
      <w:r>
        <w:t xml:space="preserve"> </w:t>
      </w:r>
      <w:r>
        <w:t xml:space="preserve">“where has hybridisation been applied”</w:t>
      </w:r>
      <w:r>
        <w:t xml:space="preserve"> </w:t>
      </w:r>
      <w:r>
        <w:t xml:space="preserve">— the</w:t>
      </w:r>
      <w:r>
        <w:t xml:space="preserve"> </w:t>
      </w:r>
      <w:r>
        <w:t xml:space="preserve">question earlier surveys answer — in that it requires reading each study for a</w:t>
      </w:r>
      <w:r>
        <w:t xml:space="preserve"> </w:t>
      </w:r>
      <w:r>
        <w:t xml:space="preserve">specific comparison rather than for topical coverage, and it requires a definition</w:t>
      </w:r>
      <w:r>
        <w:t xml:space="preserve"> </w:t>
      </w:r>
      <w:r>
        <w:t xml:space="preserve">of hybridity that does not depend on the authors’ own labelling (§2.3).</w:t>
      </w:r>
    </w:p>
    <w:bookmarkEnd w:id="16"/>
    <w:bookmarkStart w:id="18" w:name="information-sources-and-search"/>
    <w:p>
      <w:pPr>
        <w:pStyle w:val="Heading2"/>
      </w:pPr>
      <w:r>
        <w:t xml:space="preserve">2.2 Information sources and search</w:t>
      </w:r>
    </w:p>
    <w:p>
      <w:pPr>
        <w:pStyle w:val="FirstParagraph"/>
      </w:pPr>
      <w:r>
        <w:t xml:space="preserve">Records were identified from OpenAlex, Scopus, Web of Science Core Collection and</w:t>
      </w:r>
      <w:r>
        <w:t xml:space="preserve"> </w:t>
      </w:r>
      <w:r>
        <w:t xml:space="preserve">Semantic Scholar, with backward and forward snowballing from the</w:t>
      </w:r>
      <w:r>
        <w:t xml:space="preserve"> </w:t>
      </w:r>
      <w:r>
        <w:t xml:space="preserve">15 prior reviews listed in</w:t>
      </w:r>
      <w:r>
        <w:t xml:space="preserve"> </w:t>
      </w:r>
      <w:hyperlink w:anchor="tbl-reviews">
        <w:r>
          <w:rPr>
            <w:rStyle w:val="Hyperlink"/>
          </w:rPr>
          <w:t xml:space="preserve">Table 1</w:t>
        </w:r>
      </w:hyperlink>
      <w:r>
        <w:t xml:space="preserve">. The window runs from</w:t>
      </w:r>
      <w:r>
        <w:t xml:space="preserve"> </w:t>
      </w:r>
      <w:r>
        <w:t xml:space="preserve">1 January 2005 to 30 June 2026.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revie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Prior reviews of artificial-intelligence methods in pavement engineering, with the territory each occupies.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Venue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Territory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Gopalakrishnan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Cao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IEEE Access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Engineering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structural-evaluation/distress-detection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Abambres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TechRxiv (preprint)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Yang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J. Traffic Transp. Eng. (Engl. Ed.)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Rasol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Constr. Build. Mater.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structural-evaluation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Cavalli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J. Road Eng.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Tamagusko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Infrastructures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performance-prediction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Deng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J. Infrastruct. Preserv. Resil.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performance-prediction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Yuan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Remote Sensing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Safyari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Sensors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M’harzi Alaoui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J. Umm Al-Qura Univ. Eng. Archit.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materials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Zagvozda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Adv. Civ. Archit. Eng.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distress-detection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Hariri Asli et al.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J. Infrastruct. Preserv. Resil.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performance-prediction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Jweihan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Applied System Innovation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materials/performance-prediction</w:t>
                  </w:r>
                </w:p>
              </w:tc>
            </w:tr>
          </w:tbl>
          <w:bookmarkEnd w:id="17"/>
          <w:p/>
        </w:tc>
      </w:tr>
    </w:tbl>
    <w:bookmarkEnd w:id="18"/>
    <w:bookmarkStart w:id="19" w:name="sec-eligibility"/>
    <w:p>
      <w:pPr>
        <w:pStyle w:val="Heading2"/>
      </w:pPr>
      <w:r>
        <w:t xml:space="preserve">2.3 Eligibility</w:t>
      </w:r>
    </w:p>
    <w:p>
      <w:pPr>
        <w:pStyle w:val="FirstParagraph"/>
      </w:pPr>
      <w:r>
        <w:rPr>
          <w:b/>
          <w:bCs/>
        </w:rPr>
        <w:t xml:space="preserve">Structural definition of hybridity.</w:t>
      </w:r>
      <w:r>
        <w:t xml:space="preserve"> </w:t>
      </w:r>
      <w:r>
        <w:t xml:space="preserve">A study is in scope if its predictive</w:t>
      </w:r>
      <w:r>
        <w:t xml:space="preserve"> </w:t>
      </w:r>
      <w:r>
        <w:t xml:space="preserve">pipeline couples two or more components drawn from different methodological</w:t>
      </w:r>
      <w:r>
        <w:t xml:space="preserve"> </w:t>
      </w:r>
      <w:r>
        <w:t xml:space="preserve">families, at least one of which is a learned data-driven model, where the coupling</w:t>
      </w:r>
      <w:r>
        <w:t xml:space="preserve"> </w:t>
      </w:r>
      <w:r>
        <w:t xml:space="preserve">is claimed or demonstrated to affect predictive performance. Three operational</w:t>
      </w:r>
      <w:r>
        <w:t xml:space="preserve"> </w:t>
      </w:r>
      <w:r>
        <w:t xml:space="preserve">clarifications resolve most borderline cases. Hyperparameter search counts as</w:t>
      </w:r>
      <w:r>
        <w:t xml:space="preserve"> </w:t>
      </w:r>
      <w:r>
        <w:t xml:space="preserve">hybridisation only when the search procedure is itself a metaheuristic or a</w:t>
      </w:r>
      <w:r>
        <w:t xml:space="preserve"> </w:t>
      </w:r>
      <w:r>
        <w:t xml:space="preserve">surrogate-based optimiser (e.g. particle swarm optimisation, a genetic algorithm,</w:t>
      </w:r>
      <w:r>
        <w:t xml:space="preserve"> </w:t>
      </w:r>
      <w:r>
        <w:t xml:space="preserve">Bayesian optimisation, a tree-structured Parzen estimator); manual tuning and</w:t>
      </w:r>
      <w:r>
        <w:t xml:space="preserve"> </w:t>
      </w:r>
      <w:r>
        <w:t xml:space="preserve">exhaustive grid search do not qualify a study as hybrid, though both are recorded,</w:t>
      </w:r>
      <w:r>
        <w:t xml:space="preserve"> </w:t>
      </w:r>
      <w:r>
        <w:t xml:space="preserve">since they are the baseline against which the premium (§9) is measured. An ensemble</w:t>
      </w:r>
      <w:r>
        <w:t xml:space="preserve"> </w:t>
      </w:r>
      <w:r>
        <w:t xml:space="preserve">of models from a single family (e.g. a random forest) is not a hybrid; a stacked</w:t>
      </w:r>
      <w:r>
        <w:t xml:space="preserve"> </w:t>
      </w:r>
      <w:r>
        <w:t xml:space="preserve">ensemble with heterogeneous base learners is (type H5, §4). Self-description is</w:t>
      </w:r>
      <w:r>
        <w:t xml:space="preserve"> </w:t>
      </w:r>
      <w:r>
        <w:t xml:space="preserve">irrelevant in both directions: a study is included or excluded on the structure of</w:t>
      </w:r>
      <w:r>
        <w:t xml:space="preserve"> </w:t>
      </w:r>
      <w:r>
        <w:t xml:space="preserve">its pipeline, never on whether the authors used the word</w:t>
      </w:r>
      <w:r>
        <w:t xml:space="preserve"> </w:t>
      </w:r>
      <w:r>
        <w:t xml:space="preserve">“hybrid”</w:t>
      </w:r>
      <w:r>
        <w:t xml:space="preserve">.</w:t>
      </w:r>
    </w:p>
    <w:p>
      <w:pPr>
        <w:pStyle w:val="BodyText"/>
      </w:pPr>
      <w:r>
        <w:t xml:space="preserve">This structural test was necessary, not a refinement for its own sake. A pilot</w:t>
      </w:r>
      <w:r>
        <w:t xml:space="preserve"> </w:t>
      </w:r>
      <w:r>
        <w:t xml:space="preserve">search restricted to hybrid-labelled vocabulary failed to retrieve at least one</w:t>
      </w:r>
      <w:r>
        <w:t xml:space="preserve"> </w:t>
      </w:r>
      <w:r>
        <w:t xml:space="preserve">widely cited, structurally qualifying study — a dipper-throated-optimisation random</w:t>
      </w:r>
      <w:r>
        <w:t xml:space="preserve"> </w:t>
      </w:r>
      <w:r>
        <w:t xml:space="preserve">forest for pothole classification</w:t>
      </w:r>
      <w:r>
        <w:t xml:space="preserve"> </w:t>
      </w:r>
      <w:r>
        <w:t xml:space="preserve">(Alhussan et al., 2022)</w:t>
      </w:r>
      <w:r>
        <w:t xml:space="preserve"> </w:t>
      </w:r>
      <w:r>
        <w:t xml:space="preserve">— while an</w:t>
      </w:r>
      <w:r>
        <w:t xml:space="preserve"> </w:t>
      </w:r>
      <w:r>
        <w:t xml:space="preserve">algorithm-name-driven search retrieved it immediately. The same algorithm-name</w:t>
      </w:r>
      <w:r>
        <w:t xml:space="preserve"> </w:t>
      </w:r>
      <w:r>
        <w:t xml:space="preserve">search, however, drifted heavily into adjacent domains (geopolymer concrete,</w:t>
      </w:r>
      <w:r>
        <w:t xml:space="preserve"> </w:t>
      </w:r>
      <w:r>
        <w:t xml:space="preserve">rock-burst prediction, blasting-induced flyrock, and battery remaining-useful-life</w:t>
      </w:r>
      <w:r>
        <w:t xml:space="preserve"> </w:t>
      </w:r>
      <w:r>
        <w:t xml:space="preserve">studies all appeared for generic swarm-optimisation queries), which is why every</w:t>
      </w:r>
      <w:r>
        <w:t xml:space="preserve"> </w:t>
      </w:r>
      <w:r>
        <w:t xml:space="preserve">query in the harvesting protocol (</w:t>
      </w:r>
      <w:r>
        <w:rPr>
          <w:rStyle w:val="VerbatimChar"/>
        </w:rPr>
        <w:t xml:space="preserve">analysis/harvest_openalex.py</w:t>
      </w:r>
      <w:r>
        <w:t xml:space="preserve">) carries a</w:t>
      </w:r>
      <w:r>
        <w:t xml:space="preserve"> </w:t>
      </w:r>
      <w:r>
        <w:t xml:space="preserve">mandatory, hard-filtered pavement-domain term rather than relying on the</w:t>
      </w:r>
      <w:r>
        <w:t xml:space="preserve"> </w:t>
      </w:r>
      <w:r>
        <w:t xml:space="preserve">optimisation vocabulary alone.</w:t>
      </w:r>
    </w:p>
    <w:p>
      <w:pPr>
        <w:pStyle w:val="BodyText"/>
      </w:pPr>
      <w:r>
        <w:rPr>
          <w:b/>
          <w:bCs/>
        </w:rPr>
        <w:t xml:space="preserve">Peer review and language.</w:t>
      </w:r>
      <w:r>
        <w:t xml:space="preserve"> </w:t>
      </w:r>
      <w:r>
        <w:t xml:space="preserve">Peer-reviewed journal articles and full conference</w:t>
      </w:r>
      <w:r>
        <w:t xml:space="preserve"> </w:t>
      </w:r>
      <w:r>
        <w:t xml:space="preserve">papers in English are eligible. Preprints are excluded unless a peer-reviewed</w:t>
      </w:r>
      <w:r>
        <w:t xml:space="preserve"> </w:t>
      </w:r>
      <w:r>
        <w:t xml:space="preserve">version is traced; where cited as grey literature (e.g.</w:t>
      </w:r>
      <w:r>
        <w:t xml:space="preserve"> </w:t>
      </w:r>
      <w:r>
        <w:t xml:space="preserve">Latifi et al.</w:t>
      </w:r>
      <w:r>
        <w:t xml:space="preserve"> </w:t>
      </w:r>
      <w:r>
        <w:t xml:space="preserve">(2021)</w:t>
      </w:r>
      <w:r>
        <w:t xml:space="preserve">) that status</w:t>
      </w:r>
      <w:r>
        <w:t xml:space="preserve"> </w:t>
      </w:r>
      <w:r>
        <w:t xml:space="preserve">is stated explicitly.</w:t>
      </w:r>
    </w:p>
    <w:p>
      <w:pPr>
        <w:pStyle w:val="BodyText"/>
      </w:pPr>
      <w:r>
        <w:rPr>
          <w:b/>
          <w:bCs/>
        </w:rPr>
        <w:t xml:space="preserve">Exclusions that shaped the corpus.</w:t>
      </w:r>
      <w:r>
        <w:t xml:space="preserve"> </w:t>
      </w:r>
      <w:r>
        <w:t xml:space="preserve">Three exclusions recur often enough to state</w:t>
      </w:r>
      <w:r>
        <w:t xml:space="preserve"> </w:t>
      </w:r>
      <w:r>
        <w:t xml:space="preserve">here rather than only in the PRISMA log. Non-neural, non-metaheuristic machine</w:t>
      </w:r>
      <w:r>
        <w:t xml:space="preserve"> </w:t>
      </w:r>
      <w:r>
        <w:t xml:space="preserve">learning without any coupled component — a single tuned random forest or gradient-</w:t>
      </w:r>
      <w:r>
        <w:t xml:space="preserve"> </w:t>
      </w:r>
      <w:r>
        <w:t xml:space="preserve">boosted tree, for instance — is not itself in scope, but is retained in a context</w:t>
      </w:r>
      <w:r>
        <w:t xml:space="preserve"> </w:t>
      </w:r>
      <w:r>
        <w:t xml:space="preserve">set where it serves as a same-paper tuned-baseline comparator (this is, in fact,</w:t>
      </w:r>
      <w:r>
        <w:t xml:space="preserve"> </w:t>
      </w:r>
      <w:r>
        <w:t xml:space="preserve">where several of the review’s most useful premium comparisons come from — see</w:t>
      </w:r>
      <w:r>
        <w:t xml:space="preserve"> </w:t>
      </w:r>
      <w:r>
        <w:t xml:space="preserve">Zeiada et al.</w:t>
      </w:r>
      <w:r>
        <w:t xml:space="preserve"> </w:t>
      </w:r>
      <w:r>
        <w:t xml:space="preserve">(2025)</w:t>
      </w:r>
      <w:r>
        <w:t xml:space="preserve"> </w:t>
      </w:r>
      <w:r>
        <w:t xml:space="preserve">and</w:t>
      </w:r>
      <w:r>
        <w:t xml:space="preserve"> </w:t>
      </w:r>
      <w:r>
        <w:t xml:space="preserve">Guo et al.</w:t>
      </w:r>
      <w:r>
        <w:t xml:space="preserve"> </w:t>
      </w:r>
      <w:r>
        <w:t xml:space="preserve">(2025)</w:t>
      </w:r>
      <w:r>
        <w:t xml:space="preserve">). Studies where a metaheuristic and a</w:t>
      </w:r>
      <w:r>
        <w:t xml:space="preserve"> </w:t>
      </w:r>
      <w:r>
        <w:t xml:space="preserve">learner are each named in the title but run as separate, non-interacting competing</w:t>
      </w:r>
      <w:r>
        <w:t xml:space="preserve"> </w:t>
      </w:r>
      <w:r>
        <w:t xml:space="preserve">models rather than coupled into one pipeline are excluded from the hybrid corpus</w:t>
      </w:r>
      <w:r>
        <w:t xml:space="preserve"> </w:t>
      </w:r>
      <w:r>
        <w:t xml:space="preserve">proper under the structural test above, and are flagged as an instance of the</w:t>
      </w:r>
      <w:r>
        <w:t xml:space="preserve"> </w:t>
      </w:r>
      <w:r>
        <w:t xml:space="preserve">vocabulary trap in reverse — the label suggests a hybrid that the method does not</w:t>
      </w:r>
      <w:r>
        <w:t xml:space="preserve"> </w:t>
      </w:r>
      <w:r>
        <w:t xml:space="preserve">deliver (e.g.</w:t>
      </w:r>
      <w:r>
        <w:t xml:space="preserve"> </w:t>
      </w:r>
      <w:r>
        <w:t xml:space="preserve">Hanandeh (2022)</w:t>
      </w:r>
      <w:r>
        <w:t xml:space="preserve">, titled around</w:t>
      </w:r>
      <w:r>
        <w:t xml:space="preserve"> </w:t>
      </w:r>
      <w:r>
        <w:t xml:space="preserve">“genetic algorithm and</w:t>
      </w:r>
      <w:r>
        <w:t xml:space="preserve"> </w:t>
      </w:r>
      <w:r>
        <w:t xml:space="preserve">artificial neural networks”</w:t>
      </w:r>
      <w:r>
        <w:t xml:space="preserve"> </w:t>
      </w:r>
      <w:r>
        <w:t xml:space="preserve">but reporting the two as independently competing</w:t>
      </w:r>
      <w:r>
        <w:t xml:space="preserve"> </w:t>
      </w:r>
      <w:r>
        <w:t xml:space="preserve">models). Reinforcement-learning formulations for network-level maintenance and</w:t>
      </w:r>
      <w:r>
        <w:t xml:space="preserve"> </w:t>
      </w:r>
      <w:r>
        <w:t xml:space="preserve">rehabilitation decisions (e.g.</w:t>
      </w:r>
      <w:r>
        <w:t xml:space="preserve"> </w:t>
      </w:r>
      <w:r>
        <w:t xml:space="preserve">Yao et al.</w:t>
      </w:r>
      <w:r>
        <w:t xml:space="preserve"> </w:t>
      </w:r>
      <w:r>
        <w:t xml:space="preserve">(2022)</w:t>
      </w:r>
      <w:r>
        <w:t xml:space="preserve">) coordinate a learned policy with</w:t>
      </w:r>
      <w:r>
        <w:t xml:space="preserve"> </w:t>
      </w:r>
      <w:r>
        <w:t xml:space="preserve">a simulated or predicted environment in a way that does not map cleanly onto the</w:t>
      </w:r>
      <w:r>
        <w:t xml:space="preserve"> </w:t>
      </w:r>
      <w:r>
        <w:t xml:space="preserve">H1–H7 taxonomy, which is built around single-prediction pipelines; these</w:t>
      </w:r>
      <w:r>
        <w:t xml:space="preserve"> </w:t>
      </w:r>
      <w:r>
        <w:t xml:space="preserve">are retained as context for §9 and §11 rather than coded into the taxonomy.</w:t>
      </w:r>
    </w:p>
    <w:bookmarkEnd w:id="19"/>
    <w:bookmarkEnd w:id="20"/>
    <w:bookmarkStart w:id="25" w:name="sec-biblio"/>
    <w:p>
      <w:pPr>
        <w:pStyle w:val="Heading1"/>
      </w:pPr>
      <w:r>
        <w:t xml:space="preserve">3. Bibliometric landscape</w:t>
      </w:r>
    </w:p>
    <w:p>
      <w:pPr>
        <w:pStyle w:val="FirstParagraph"/>
      </w:pPr>
      <w:r>
        <w:t xml:space="preserve">Of the 59 primary studies coded so far,</w:t>
      </w:r>
      <w:r>
        <w:t xml:space="preserve"> </w:t>
      </w:r>
      <w:hyperlink w:anchor="fig-taxonomy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their distribution across the seven hybridisation types defined in §4. A</w:t>
      </w:r>
      <w:r>
        <w:t xml:space="preserve"> </w:t>
      </w:r>
      <w:r>
        <w:t xml:space="preserve">substantial share — 22</w:t>
      </w:r>
      <w:r>
        <w:t xml:space="preserve"> </w:t>
      </w:r>
      <w:r>
        <w:t xml:space="preserve">of 59 — do not qualify as hybrid under the structural test in</w:t>
      </w:r>
      <w:r>
        <w:t xml:space="preserve"> </w:t>
      </w:r>
      <w:r>
        <w:t xml:space="preserve">§2.3 despite frequent adjacency to hybrid work in citation networks and, in a few</w:t>
      </w:r>
      <w:r>
        <w:t xml:space="preserve"> </w:t>
      </w:r>
      <w:r>
        <w:t xml:space="preserve">cases, despite carrying</w:t>
      </w:r>
      <w:r>
        <w:t xml:space="preserve"> </w:t>
      </w:r>
      <w:r>
        <w:t xml:space="preserve">“hybrid”</w:t>
      </w:r>
      <w:r>
        <w:t xml:space="preserve"> </w:t>
      </w:r>
      <w:r>
        <w:t xml:space="preserve">or an optimiser name in the title while running</w:t>
      </w:r>
      <w:r>
        <w:t xml:space="preserve"> </w:t>
      </w:r>
      <w:r>
        <w:t xml:space="preserve">the two components as separate, non-interacting models (§2.3). This is an early</w:t>
      </w:r>
      <w:r>
        <w:t xml:space="preserve"> </w:t>
      </w:r>
      <w:r>
        <w:t xml:space="preserve">indication, not yet a corpus-wide estimate, of how much daylight exists between the</w:t>
      </w:r>
      <w:r>
        <w:t xml:space="preserve"> </w:t>
      </w:r>
      <w:r>
        <w:t xml:space="preserve">field’s vocabulary and its actual methodological content; §9 returns to the</w:t>
      </w:r>
      <w:r>
        <w:t xml:space="preserve"> </w:t>
      </w:r>
      <w:r>
        <w:t xml:space="preserve">consequence of that gap for the premium estimate.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axonomy"/>
          <w:p>
            <w:pPr>
              <w:pStyle w:val="Compact"/>
              <w:jc w:val="center"/>
            </w:pPr>
            <w:r>
              <w:drawing>
                <wp:inline>
                  <wp:extent cx="5334000" cy="245469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ures/fig02_taxonomy_distributio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4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hybridisation types among primary studies coded in the seed</w:t>
            </w:r>
            <w:r>
              <w:t xml:space="preserve"> </w:t>
            </w:r>
            <w:r>
              <w:t xml:space="preserve">corpus.</w:t>
            </w:r>
          </w:p>
          <w:bookmarkEnd w:id="24"/>
        </w:tc>
      </w:tr>
    </w:tbl>
    <w:bookmarkEnd w:id="25"/>
    <w:bookmarkStart w:id="27" w:name="sec-taxonomy"/>
    <w:p>
      <w:pPr>
        <w:pStyle w:val="Heading1"/>
      </w:pPr>
      <w:r>
        <w:t xml:space="preserve">4. Taxonomy of hybridisation</w:t>
      </w:r>
    </w:p>
    <w:p>
      <w:pPr>
        <w:pStyle w:val="FirstParagraph"/>
      </w:pPr>
      <w:r>
        <w:t xml:space="preserve">The field’s literature treats</w:t>
      </w:r>
      <w:r>
        <w:t xml:space="preserve"> </w:t>
      </w:r>
      <w:r>
        <w:t xml:space="preserve">“hybrid”</w:t>
      </w:r>
      <w:r>
        <w:t xml:space="preserve"> </w:t>
      </w:r>
      <w:r>
        <w:t xml:space="preserve">as a single, undifferentiated label. This</w:t>
      </w:r>
      <w:r>
        <w:t xml:space="preserve"> </w:t>
      </w:r>
      <w:r>
        <w:t xml:space="preserve">flattens together couplings with different theoretical justifications and,</w:t>
      </w:r>
      <w:r>
        <w:t xml:space="preserve"> </w:t>
      </w:r>
      <w:r>
        <w:t xml:space="preserve">correspondingly, different characteristic failure modes — a metaheuristic searching</w:t>
      </w:r>
      <w:r>
        <w:t xml:space="preserve"> </w:t>
      </w:r>
      <w:r>
        <w:t xml:space="preserve">a hyperparameter space is a different claim from a metaheuristic searching a</w:t>
      </w:r>
      <w:r>
        <w:t xml:space="preserve"> </w:t>
      </w:r>
      <w:r>
        <w:t xml:space="preserve">weight space, and a different claim again from a physics-constrained loss function.</w:t>
      </w:r>
      <w:r>
        <w:t xml:space="preserve"> </w:t>
      </w:r>
      <w:hyperlink w:anchor="tbl-taxonomy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 the seven types this review distinguishes and codes against.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taxonom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Taxonomy of hybridisation in data-driven pavement models (H1–H7).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5"/>
              <w:gridCol w:w="1742"/>
              <w:gridCol w:w="2851"/>
              <w:gridCol w:w="28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Coupling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Theoretical justification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Characteristic failure mode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Metaheuristic → hyperparameters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Searches a non-convex, discrete hyperparameter space that gradient methods cannot address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Compared against an untuned base learner, so the reported gain is the tuning, not the metaheuristic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Metaheuristic → weights / structure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Escapes local minima of backpropagation; permits non-differentiable objectives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Vastly more function evaluations than the baseline receives, with no compute-parity reporting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Physics + data (PINN, mechanistic residual, transfer function as loss)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Constrains the solution to a mechanically admissible manifold; aids under data scarcity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Physics-term weight tuned on the test set; constraint too weak to bind in practice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Architecture fusion (e.g. CNN+transformer, two-stream)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Complementary inductive biases – local texture and long-range context together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Gains confounded with parameter count and training budget rather than the fusion itself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Heterogeneous stacking / blending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Decorrelated errors across model families reduce variance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Meta-learner trained on in-fold predictions; leakage through the stacking layer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Signal decomposition then learn (VMD, EMD, CEEMDAN, wavelet)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Separates scales the learner would otherwise have to disentangle unaided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Decomposition fitted on the full series before the temporal split – the most common severe leakage in this family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Symbolic–numeric (GEP, MGGP, EPR + a numeric optimiser)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Yields a closed-form, inspectable expression rather than an opaque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Expression complexity uncontrolled; an overfit equation is then read as if it were physics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Two coding notes follow directly from applying this taxonomy to the seed corpus.</w:t>
      </w:r>
      <w:r>
        <w:t xml:space="preserve"> </w:t>
      </w:r>
      <w:r>
        <w:t xml:space="preserve">First, a single study can legitimately receive more than one code —</w:t>
      </w:r>
      <w:r>
        <w:t xml:space="preserve"> </w:t>
      </w:r>
      <w:r>
        <w:t xml:space="preserve">Ghorbani et al.</w:t>
      </w:r>
      <w:r>
        <w:t xml:space="preserve"> </w:t>
      </w:r>
      <w:r>
        <w:t xml:space="preserve">(2020)</w:t>
      </w:r>
      <w:r>
        <w:t xml:space="preserve"> </w:t>
      </w:r>
      <w:r>
        <w:t xml:space="preserve">fits both a GA-derived symbolic equation (H7-adjacent) and an ANN whose weights are</w:t>
      </w:r>
      <w:r>
        <w:t xml:space="preserve"> </w:t>
      </w:r>
      <w:r>
        <w:t xml:space="preserve">set by the same GA (H2) on the same data, which is precisely the kind of within-paper</w:t>
      </w:r>
      <w:r>
        <w:t xml:space="preserve"> </w:t>
      </w:r>
      <w:r>
        <w:t xml:space="preserve">comparison §9 is built to exploit. Second, several studies that use metaheuristic or</w:t>
      </w:r>
      <w:r>
        <w:t xml:space="preserve"> </w:t>
      </w:r>
      <w:r>
        <w:t xml:space="preserve">architecture-fusion vocabulary in their titles fail the structural test on inspection</w:t>
      </w:r>
      <w:r>
        <w:t xml:space="preserve"> </w:t>
      </w:r>
      <w:r>
        <w:t xml:space="preserve">—</w:t>
      </w:r>
      <w:r>
        <w:t xml:space="preserve"> </w:t>
      </w:r>
      <w:r>
        <w:t xml:space="preserve">Hanandeh (2022)</w:t>
      </w:r>
      <w:r>
        <w:t xml:space="preserve"> </w:t>
      </w:r>
      <w:r>
        <w:t xml:space="preserve">names both a genetic algorithm and an artificial neural</w:t>
      </w:r>
      <w:r>
        <w:t xml:space="preserve"> </w:t>
      </w:r>
      <w:r>
        <w:t xml:space="preserve">network but reports them as independently competing models rather than a coupled</w:t>
      </w:r>
      <w:r>
        <w:t xml:space="preserve"> </w:t>
      </w:r>
      <w:r>
        <w:t xml:space="preserve">pipeline, and is coded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any of H1–H7 as a result. Both</w:t>
      </w:r>
      <w:r>
        <w:t xml:space="preserve"> </w:t>
      </w:r>
      <w:r>
        <w:t xml:space="preserve">notes matter for the same reason: the taxonomy is applied to what a pipeline</w:t>
      </w:r>
      <w:r>
        <w:t xml:space="preserve"> </w:t>
      </w:r>
      <w:r>
        <w:rPr>
          <w:i/>
          <w:iCs/>
        </w:rPr>
        <w:t xml:space="preserve">does</w:t>
      </w:r>
      <w:r>
        <w:t xml:space="preserve">,</w:t>
      </w:r>
      <w:r>
        <w:t xml:space="preserve"> </w:t>
      </w:r>
      <w:r>
        <w:t xml:space="preserve">not to what its title or abstract</w:t>
      </w:r>
      <w:r>
        <w:t xml:space="preserve"> </w:t>
      </w:r>
      <w:r>
        <w:rPr>
          <w:i/>
          <w:iCs/>
        </w:rPr>
        <w:t xml:space="preserve">calls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Reinforcement-learning approaches to network-level maintenance-and-rehabilitation</w:t>
      </w:r>
      <w:r>
        <w:t xml:space="preserve"> </w:t>
      </w:r>
      <w:r>
        <w:t xml:space="preserve">policy</w:t>
      </w:r>
      <w:r>
        <w:t xml:space="preserve"> </w:t>
      </w:r>
      <w:r>
        <w:t xml:space="preserve">(</w:t>
      </w:r>
      <w:r>
        <w:t xml:space="preserve">Latifi et al.</w:t>
      </w:r>
      <w:r>
        <w:t xml:space="preserve">, 2021;</w:t>
      </w:r>
      <w:r>
        <w:t xml:space="preserve"> </w:t>
      </w:r>
      <w:r>
        <w:t xml:space="preserve">Yao et al.</w:t>
      </w:r>
      <w:r>
        <w:t xml:space="preserve">, 2022)</w:t>
      </w:r>
      <w:r>
        <w:t xml:space="preserve"> </w:t>
      </w:r>
      <w:r>
        <w:t xml:space="preserve">sit adjacent to this taxonomy but</w:t>
      </w:r>
      <w:r>
        <w:t xml:space="preserve"> </w:t>
      </w:r>
      <w:r>
        <w:t xml:space="preserve">are not coded into it: they couple a learned policy to a simulated or predicted</w:t>
      </w:r>
      <w:r>
        <w:t xml:space="preserve"> </w:t>
      </w:r>
      <w:r>
        <w:t xml:space="preserve">environment in a way that does not map onto the single-prediction-pipeline structure</w:t>
      </w:r>
      <w:r>
        <w:t xml:space="preserve"> </w:t>
      </w:r>
      <w:r>
        <w:t xml:space="preserve">H1–H7 assumes. They are retained as context for the decision-consequence</w:t>
      </w:r>
      <w:r>
        <w:t xml:space="preserve"> </w:t>
      </w:r>
      <w:r>
        <w:t xml:space="preserve">discussion in §11 rather than folded into the hybridisation-type counts in §3.</w:t>
      </w:r>
    </w:p>
    <w:bookmarkEnd w:id="27"/>
    <w:bookmarkStart w:id="28" w:name="sec-materials"/>
    <w:p>
      <w:pPr>
        <w:pStyle w:val="Heading1"/>
      </w:pPr>
      <w:r>
        <w:t xml:space="preserve">5. Hybrid models in material and mix modelling</w:t>
      </w:r>
    </w:p>
    <w:p>
      <w:pPr>
        <w:pStyle w:val="FirstParagraph"/>
      </w:pPr>
      <w:r>
        <w:t xml:space="preserve">Material-property modelling is the sub-domain where the seed corpus shows the</w:t>
      </w:r>
      <w:r>
        <w:t xml:space="preserve"> </w:t>
      </w:r>
      <w:r>
        <w:t xml:space="preserve">heaviest concentration of H1 (metaheuristic-tuned hyperparameters) and H7</w:t>
      </w:r>
      <w:r>
        <w:t xml:space="preserve"> </w:t>
      </w:r>
      <w:r>
        <w:t xml:space="preserve">(symbolic</w:t>
      </w:r>
      <w:r>
        <w:t xml:space="preserve">numeric) activity, and it is also where the tuned-baseline</w:t>
      </w:r>
      <w:r>
        <w:t xml:space="preserve"> </w:t>
      </w:r>
      <w:r>
        <w:t xml:space="preserve">problem identified in §9 is most visible, because the target properties —</w:t>
      </w:r>
      <w:r>
        <w:t xml:space="preserve"> </w:t>
      </w:r>
      <w:r>
        <w:t xml:space="preserve">resilient modulus, dynamic modulus, unconfined compressive strength, air-void</w:t>
      </w:r>
      <w:r>
        <w:t xml:space="preserve"> </w:t>
      </w:r>
      <w:r>
        <w:t xml:space="preserve">content — are exactly the properties for which competitor mechanistic or empirical</w:t>
      </w:r>
      <w:r>
        <w:t xml:space="preserve"> </w:t>
      </w:r>
      <w:r>
        <w:t xml:space="preserve">models already exist and are routinely, though not universally, available for</w:t>
      </w:r>
      <w:r>
        <w:t xml:space="preserve"> </w:t>
      </w:r>
      <w:r>
        <w:t xml:space="preserve">comparison.</w:t>
      </w:r>
    </w:p>
    <w:p>
      <w:pPr>
        <w:pStyle w:val="BodyText"/>
      </w:pPr>
      <w:r>
        <w:t xml:space="preserve">The resilient-modulus literature illustrates both the promise and the recurring</w:t>
      </w:r>
      <w:r>
        <w:t xml:space="preserve"> </w:t>
      </w:r>
      <w:r>
        <w:t xml:space="preserve">weakness. Ghorbani et al.</w:t>
      </w:r>
      <w:r>
        <w:t xml:space="preserve"> </w:t>
      </w:r>
      <w:r>
        <w:t xml:space="preserve">(</w:t>
      </w:r>
      <w:r>
        <w:t xml:space="preserve">Ghorbani et al.</w:t>
      </w:r>
      <w:r>
        <w:t xml:space="preserve">, 2020)</w:t>
      </w:r>
      <w:r>
        <w:t xml:space="preserve"> </w:t>
      </w:r>
      <w:r>
        <w:t xml:space="preserve">fit two related models on the same</w:t>
      </w:r>
      <w:r>
        <w:t xml:space="preserve"> </w:t>
      </w:r>
      <w:r>
        <w:t xml:space="preserve">repeated-load triaxial dataset — a genetic-algorithm-derived symbolic equation and</w:t>
      </w:r>
      <w:r>
        <w:t xml:space="preserve"> </w:t>
      </w:r>
      <w:r>
        <w:t xml:space="preserve">an ANN whose weights the same genetic algorithm sets (H2) — and report the hybrid</w:t>
      </w:r>
      <w:r>
        <w:t xml:space="preserve"> </w:t>
      </w:r>
      <w:r>
        <w:t xml:space="preserve">ANN-GA model as the more accurate of the two, a rare instance in the corpus of a</w:t>
      </w:r>
      <w:r>
        <w:t xml:space="preserve"> </w:t>
      </w:r>
      <w:r>
        <w:t xml:space="preserve">true head-to-head comparison between two hybridisation types on identical data</w:t>
      </w:r>
      <w:r>
        <w:t xml:space="preserve"> </w:t>
      </w:r>
      <w:r>
        <w:t xml:space="preserve">rather than between a hybrid and an unspecified baseline. Azam et al.</w:t>
      </w:r>
      <w:r>
        <w:t xml:space="preserve"> </w:t>
      </w:r>
      <w:r>
        <w:t xml:space="preserve">(</w:t>
      </w:r>
      <w:r>
        <w:t xml:space="preserve">Azam et al.</w:t>
      </w:r>
      <w:r>
        <w:t xml:space="preserve">, 2022)</w:t>
      </w:r>
      <w:r>
        <w:t xml:space="preserve"> </w:t>
      </w:r>
      <w:r>
        <w:t xml:space="preserve">instead compare six swarm-optimised variants of a single base</w:t>
      </w:r>
      <w:r>
        <w:t xml:space="preserve"> </w:t>
      </w:r>
      <w:r>
        <w:t xml:space="preserve">learner (LSSVM) against one another; the top three separate by RMSE values of 6.72,</w:t>
      </w:r>
      <w:r>
        <w:t xml:space="preserve"> </w:t>
      </w:r>
      <w:r>
        <w:t xml:space="preserve">6.78 and 6.79 MPa and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of 0.942, 0.940 and 0.940 — a spread well inside</w:t>
      </w:r>
      <w:r>
        <w:t xml:space="preserve"> </w:t>
      </w:r>
      <w:r>
        <w:t xml:space="preserve">what a different random seed would plausibly produce — and none is compared against</w:t>
      </w:r>
      <w:r>
        <w:t xml:space="preserve"> </w:t>
      </w:r>
      <w:r>
        <w:t xml:space="preserve">a conventionally tuned, non-hybrid LSSVM, so no premium is computable from the paper</w:t>
      </w:r>
      <w:r>
        <w:t xml:space="preserve"> </w:t>
      </w:r>
      <w:r>
        <w:t xml:space="preserve">as published (§9). Kaloop et al.</w:t>
      </w:r>
      <w:r>
        <w:t xml:space="preserve"> </w:t>
      </w:r>
      <w:r>
        <w:t xml:space="preserve">(</w:t>
      </w:r>
      <w:r>
        <w:t xml:space="preserve">Kaloop et al.</w:t>
      </w:r>
      <w:r>
        <w:t xml:space="preserve">, 2019)</w:t>
      </w:r>
      <w:r>
        <w:t xml:space="preserve"> </w:t>
      </w:r>
      <w:r>
        <w:t xml:space="preserve">report a similar</w:t>
      </w:r>
      <w:r>
        <w:t xml:space="preserve"> </w:t>
      </w:r>
      <w:r>
        <w:t xml:space="preserve">optimiser-held-constant, learner-varied design (PSO-ANN vs. PSO-ELM vs. kernel-ELM),</w:t>
      </w:r>
      <w:r>
        <w:t xml:space="preserve"> </w:t>
      </w:r>
      <w:r>
        <w:t xml:space="preserve">useful for isolating base-learner choice but not, by itself, for isolating the</w:t>
      </w:r>
      <w:r>
        <w:t xml:space="preserve"> </w:t>
      </w:r>
      <w:r>
        <w:t xml:space="preserve">optimiser’s contribution.</w:t>
      </w:r>
    </w:p>
    <w:p>
      <w:pPr>
        <w:pStyle w:val="BodyText"/>
      </w:pPr>
      <w:r>
        <w:t xml:space="preserve">The clearest positive exemplar in this section is not a hybrid at all in the H1–H7</w:t>
      </w:r>
      <w:r>
        <w:t xml:space="preserve"> </w:t>
      </w:r>
      <w:r>
        <w:t xml:space="preserve">sense: Zeiada et al.</w:t>
      </w:r>
      <w:r>
        <w:t xml:space="preserve"> </w:t>
      </w:r>
      <w:r>
        <w:t xml:space="preserve">(</w:t>
      </w:r>
      <w:r>
        <w:t xml:space="preserve">Zeiada et al.</w:t>
      </w:r>
      <w:r>
        <w:t xml:space="preserve">, 2025)</w:t>
      </w:r>
      <w:r>
        <w:t xml:space="preserve"> </w:t>
      </w:r>
      <w:r>
        <w:t xml:space="preserve">individually tune eight learners,</w:t>
      </w:r>
      <w:r>
        <w:t xml:space="preserve"> </w:t>
      </w:r>
      <w:r>
        <w:t xml:space="preserve">including deep architectures, and benchmark every one of them against the Witczak</w:t>
      </w:r>
      <w:r>
        <w:t xml:space="preserve"> </w:t>
      </w:r>
      <w:r>
        <w:t xml:space="preserve">1-40D and Hirsch mechanistic models for dynamic modulus. Under that design, the</w:t>
      </w:r>
      <w:r>
        <w:t xml:space="preserve"> </w:t>
      </w:r>
      <w:r>
        <w:t xml:space="preserve">winner is a tuned bagging ensemble — not a hybrid and not a deep network — which is</w:t>
      </w:r>
      <w:r>
        <w:t xml:space="preserve"> </w:t>
      </w:r>
      <w:r>
        <w:t xml:space="preserve">precisely the finding a hybridisation-premium framework should produce when tuning</w:t>
      </w:r>
      <w:r>
        <w:t xml:space="preserve"> </w:t>
      </w:r>
      <w:r>
        <w:t xml:space="preserve">is held fair across all competitors, and it is the paper this review returns to</w:t>
      </w:r>
      <w:r>
        <w:t xml:space="preserve"> </w:t>
      </w:r>
      <w:r>
        <w:t xml:space="preserve">repeatedly (§1, §9) as the standard the rest of the sub-domain should be read</w:t>
      </w:r>
      <w:r>
        <w:t xml:space="preserve"> </w:t>
      </w:r>
      <w:r>
        <w:t xml:space="preserve">against.</w:t>
      </w:r>
    </w:p>
    <w:p>
      <w:pPr>
        <w:pStyle w:val="BodyText"/>
      </w:pPr>
      <w:r>
        <w:t xml:space="preserve">On the symbolic side, Ghanizadeh et al.</w:t>
      </w:r>
      <w:r>
        <w:t xml:space="preserve"> </w:t>
      </w:r>
      <w:r>
        <w:t xml:space="preserve">(</w:t>
      </w:r>
      <w:r>
        <w:t xml:space="preserve">Ghanizadeh et al.</w:t>
      </w:r>
      <w:r>
        <w:t xml:space="preserve">, 2024)</w:t>
      </w:r>
      <w:r>
        <w:t xml:space="preserve"> </w:t>
      </w:r>
      <w:r>
        <w:t xml:space="preserve">fit a</w:t>
      </w:r>
      <w:r>
        <w:t xml:space="preserve"> </w:t>
      </w:r>
      <w:r>
        <w:t xml:space="preserve">TLBO-optimised evolutionary polynomial regression and multi-gene genetic</w:t>
      </w:r>
      <w:r>
        <w:t xml:space="preserve"> </w:t>
      </w:r>
      <w:r>
        <w:t xml:space="preserve">programming model (H7) for asphalt air-void evolution, producing a closed-form,</w:t>
      </w:r>
      <w:r>
        <w:t xml:space="preserve"> </w:t>
      </w:r>
      <w:r>
        <w:t xml:space="preserve">inspectable expression rather than an opaque predictor — a property that recurs as</w:t>
      </w:r>
      <w:r>
        <w:t xml:space="preserve"> </w:t>
      </w:r>
      <w:r>
        <w:t xml:space="preserve">a theme in §10’s discussion of what interpretability should mean for a validated,</w:t>
      </w:r>
      <w:r>
        <w:t xml:space="preserve"> </w:t>
      </w:r>
      <w:r>
        <w:t xml:space="preserve">not merely a post-hoc-explained, model.</w:t>
      </w:r>
    </w:p>
    <w:bookmarkEnd w:id="28"/>
    <w:bookmarkStart w:id="29" w:name="sec-structural"/>
    <w:p>
      <w:pPr>
        <w:pStyle w:val="Heading1"/>
      </w:pPr>
      <w:r>
        <w:t xml:space="preserve">6. Hybrid models in structural evaluation and inverse analysis</w:t>
      </w:r>
    </w:p>
    <w:p>
      <w:pPr>
        <w:pStyle w:val="FirstParagraph"/>
      </w:pPr>
      <w:r>
        <w:t xml:space="preserve">Structural evaluation and inverse analysis — principally back-calculation of layer</w:t>
      </w:r>
      <w:r>
        <w:t xml:space="preserve"> </w:t>
      </w:r>
      <w:r>
        <w:t xml:space="preserve">moduli from deflection data — is the sub-domain with the strongest example of</w:t>
      </w:r>
      <w:r>
        <w:t xml:space="preserve"> </w:t>
      </w:r>
      <w:r>
        <w:t xml:space="preserve">external validation in the entire seed corpus, and for that reason anchors much of</w:t>
      </w:r>
      <w:r>
        <w:t xml:space="preserve"> </w:t>
      </w:r>
      <w:r>
        <w:t xml:space="preserve">the argument in §11 as well as this section. Elbagalati et al.</w:t>
      </w:r>
      <w:r>
        <w:t xml:space="preserve"> </w:t>
      </w:r>
      <w:r>
        <w:t xml:space="preserve">(</w:t>
      </w:r>
      <w:r>
        <w:t xml:space="preserve">Elbagalati et al.</w:t>
      </w:r>
      <w:r>
        <w:t xml:space="preserve">, 2017)</w:t>
      </w:r>
      <w:r>
        <w:t xml:space="preserve"> </w:t>
      </w:r>
      <w:r>
        <w:t xml:space="preserve">train an ANN model on a Louisiana continuous-deflection</w:t>
      </w:r>
      <w:r>
        <w:t xml:space="preserve"> </w:t>
      </w:r>
      <w:r>
        <w:t xml:space="preserve">programme and evaluate it on an independent Minnesota programme;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falls only</w:t>
      </w:r>
      <w:r>
        <w:t xml:space="preserve"> </w:t>
      </w:r>
      <w:r>
        <w:t xml:space="preserve">from 0.73 to 0.72 across that transfer, which is the benchmark against which the</w:t>
      </w:r>
      <w:r>
        <w:t xml:space="preserve"> </w:t>
      </w:r>
      <w:r>
        <w:t xml:space="preserve">field’s more typical 0.99-on-random-holdout results should be read, and the paper</w:t>
      </w:r>
      <w:r>
        <w:t xml:space="preserve"> </w:t>
      </w:r>
      <w:r>
        <w:t xml:space="preserve">is cited repeatedly in this review precisely because it is the exception rather</w:t>
      </w:r>
      <w:r>
        <w:t xml:space="preserve"> </w:t>
      </w:r>
      <w:r>
        <w:t xml:space="preserve">than the rule.</w:t>
      </w:r>
    </w:p>
    <w:p>
      <w:pPr>
        <w:pStyle w:val="BodyText"/>
      </w:pPr>
      <w:r>
        <w:t xml:space="preserve">Ghanizadeh and colleagues’ own back-calculation work traces a coherent five-year arc</w:t>
      </w:r>
      <w:r>
        <w:t xml:space="preserve"> </w:t>
      </w:r>
      <w:r>
        <w:t xml:space="preserve">that this section follows in sequence: an ANN back-calculation model with Garson and</w:t>
      </w:r>
      <w:r>
        <w:t xml:space="preserve"> </w:t>
      </w:r>
      <w:r>
        <w:t xml:space="preserve">connection-weight sensitivity analysis</w:t>
      </w:r>
      <w:r>
        <w:t xml:space="preserve"> </w:t>
      </w:r>
      <w:r>
        <w:t xml:space="preserve">(Ghanizadeh et al., 2020)</w:t>
      </w:r>
      <w:r>
        <w:t xml:space="preserve"> </w:t>
      </w:r>
      <w:r>
        <w:t xml:space="preserve">establishes the</w:t>
      </w:r>
      <w:r>
        <w:t xml:space="preserve"> </w:t>
      </w:r>
      <w:r>
        <w:t xml:space="preserve">baseline single-architecture approach with post-hoc interpretability; METABACKCAL</w:t>
      </w:r>
      <w:r>
        <w:t xml:space="preserve"> </w:t>
      </w:r>
      <w:r>
        <w:t xml:space="preserve">(Ghanizadeh et al., 2025)</w:t>
      </w:r>
      <w:r>
        <w:t xml:space="preserve"> </w:t>
      </w:r>
      <w:r>
        <w:t xml:space="preserve">replaces the neural surrogate with a metaheuristic-driven</w:t>
      </w:r>
      <w:r>
        <w:t xml:space="preserve"> </w:t>
      </w:r>
      <w:r>
        <w:t xml:space="preserve">inverse solver directly (H2, in the sense that the metaheuristic operates on the</w:t>
      </w:r>
      <w:r>
        <w:t xml:space="preserve"> </w:t>
      </w:r>
      <w:r>
        <w:t xml:space="preserve">inverse problem itself rather than on a learned model’s hyperparameters), and is</w:t>
      </w:r>
      <w:r>
        <w:t xml:space="preserve"> </w:t>
      </w:r>
      <w:r>
        <w:t xml:space="preserve">released as a named tool — one of very few entries in the seed corpus with</w:t>
      </w:r>
      <w:r>
        <w:t xml:space="preserve"> </w:t>
      </w:r>
      <w:r>
        <w:t xml:space="preserve">deployment evidence beyond a closed-form equation. Reading the two together sets up</w:t>
      </w:r>
      <w:r>
        <w:t xml:space="preserve"> </w:t>
      </w:r>
      <w:r>
        <w:t xml:space="preserve">a natural question for the completed review: does the metaheuristic-driven solver</w:t>
      </w:r>
      <w:r>
        <w:t xml:space="preserve"> </w:t>
      </w:r>
      <w:r>
        <w:t xml:space="preserve">in the later paper report an accuracy gain over the earlier ANN surrogate under a</w:t>
      </w:r>
      <w:r>
        <w:t xml:space="preserve"> </w:t>
      </w:r>
      <w:r>
        <w:t xml:space="preserve">comparable computational budget, and if so, of what size? That comparison is</w:t>
      </w:r>
      <w:r>
        <w:t xml:space="preserve"> </w:t>
      </w:r>
      <w:r>
        <w:t xml:space="preserve">identified but not yet completed, since it requires a full-text extraction from</w:t>
      </w:r>
      <w:r>
        <w:t xml:space="preserve"> </w:t>
      </w:r>
      <w:r>
        <w:t xml:space="preserve">both papers rather than the abstract-level record currently in the database.</w:t>
      </w:r>
    </w:p>
    <w:p>
      <w:pPr>
        <w:pStyle w:val="BodyText"/>
      </w:pPr>
      <w:r>
        <w:t xml:space="preserve">Pasupunuri, Thom and Li</w:t>
      </w:r>
      <w:r>
        <w:t xml:space="preserve"> </w:t>
      </w:r>
      <w:r>
        <w:t xml:space="preserve">(Pasupunuri et al., 2024)</w:t>
      </w:r>
      <w:r>
        <w:t xml:space="preserve"> </w:t>
      </w:r>
      <w:r>
        <w:t xml:space="preserve">supply this review’s clearest H3</w:t>
      </w:r>
      <w:r>
        <w:t xml:space="preserve"> </w:t>
      </w:r>
      <w:r>
        <w:t xml:space="preserve">(physics-informed) exemplar, embedding the MEPDG roughness model itself as the</w:t>
      </w:r>
      <w:r>
        <w:t xml:space="preserve"> </w:t>
      </w:r>
      <w:r>
        <w:t xml:space="preserve">physics-loss term of a PINN for jointed plain concrete pavement roughness — the</w:t>
      </w:r>
      <w:r>
        <w:t xml:space="preserve"> </w:t>
      </w:r>
      <w:r>
        <w:t xml:space="preserve">single clearest published case in the corpus of a mechanics-constrained learner in</w:t>
      </w:r>
      <w:r>
        <w:t xml:space="preserve"> </w:t>
      </w:r>
      <w:r>
        <w:t xml:space="preserve">pavement engineering, and a useful counterpoint to the purely data-driven H1/H2</w:t>
      </w:r>
      <w:r>
        <w:t xml:space="preserve"> </w:t>
      </w:r>
      <w:r>
        <w:t xml:space="preserve">work that dominates the rest of this section.</w:t>
      </w:r>
    </w:p>
    <w:bookmarkEnd w:id="29"/>
    <w:bookmarkStart w:id="30" w:name="sec-performance"/>
    <w:p>
      <w:pPr>
        <w:pStyle w:val="Heading1"/>
      </w:pPr>
      <w:r>
        <w:t xml:space="preserve">7. Hybrid models in performance prediction</w:t>
      </w:r>
    </w:p>
    <w:p>
      <w:pPr>
        <w:pStyle w:val="FirstParagraph"/>
      </w:pPr>
      <w:r>
        <w:t xml:space="preserve">Performance and deterioration prediction — international roughness index, rutting,</w:t>
      </w:r>
      <w:r>
        <w:t xml:space="preserve"> </w:t>
      </w:r>
      <w:r>
        <w:t xml:space="preserve">cracking, faulting, remaining service life — is the sub-domain most heavily</w:t>
      </w:r>
      <w:r>
        <w:t xml:space="preserve"> </w:t>
      </w:r>
      <w:r>
        <w:t xml:space="preserve">dependent on the Long-Term Pavement Performance (LTPP) database in the seed corpus,</w:t>
      </w:r>
      <w:r>
        <w:t xml:space="preserve"> </w:t>
      </w:r>
      <w:r>
        <w:t xml:space="preserve">and correspondingly the sub-domain where the near-duplicate-substrate problem named</w:t>
      </w:r>
      <w:r>
        <w:t xml:space="preserve"> </w:t>
      </w:r>
      <w:r>
        <w:t xml:space="preserve">in the review methodology is most concrete rather than abstract. Two studies by</w:t>
      </w:r>
      <w:r>
        <w:t xml:space="preserve"> </w:t>
      </w:r>
      <w:r>
        <w:t xml:space="preserve">overlapping author teams,</w:t>
      </w:r>
      <w:r>
        <w:t xml:space="preserve"> </w:t>
      </w:r>
      <w:r>
        <w:t xml:space="preserve">Alnaqbi et al. (2025)</w:t>
      </w:r>
      <w:r>
        <w:t xml:space="preserve"> </w:t>
      </w:r>
      <w:r>
        <w:t xml:space="preserve">and a related 2026 gradient-boosting</w:t>
      </w:r>
      <w:r>
        <w:t xml:space="preserve"> </w:t>
      </w:r>
      <w:r>
        <w:t xml:space="preserve">variant, both draw on the same 395-observation, 33-section continuously-reinforced-</w:t>
      </w:r>
      <w:r>
        <w:t xml:space="preserve"> </w:t>
      </w:r>
      <w:r>
        <w:t xml:space="preserve">concrete-pavement LTPP substrate and both report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above 0.99 under five-fold</w:t>
      </w:r>
      <w:r>
        <w:t xml:space="preserve"> </w:t>
      </w:r>
      <w:r>
        <w:t xml:space="preserve">cross-validation; whether the cross-validation folds respect the 33-section grouping</w:t>
      </w:r>
      <w:r>
        <w:t xml:space="preserve"> </w:t>
      </w:r>
      <w:r>
        <w:t xml:space="preserve">(so that no section contributes records to both the training and test partition</w:t>
      </w:r>
      <w:r>
        <w:t xml:space="preserve"> </w:t>
      </w:r>
      <w:r>
        <w:t xml:space="preserve">within a fold) is the single full-text question that would resolve whether these</w:t>
      </w:r>
      <w:r>
        <w:t xml:space="preserve"> </w:t>
      </w:r>
      <w:r>
        <w:t xml:space="preserve">results reflect genuine predictive skill or record-level leakage of the kind §2.3</w:t>
      </w:r>
      <w:r>
        <w:t xml:space="preserve"> </w:t>
      </w:r>
      <w:r>
        <w:t xml:space="preserve">and the PAVE-ML leakage-risk rule (§10) are built to detect, and it is flagged</w:t>
      </w:r>
      <w:r>
        <w:t xml:space="preserve"> </w:t>
      </w:r>
      <w:r>
        <w:t xml:space="preserve">explicitly for priority full-text extraction.</w:t>
      </w:r>
    </w:p>
    <w:p>
      <w:pPr>
        <w:pStyle w:val="BodyText"/>
      </w:pPr>
      <w:r>
        <w:t xml:space="preserve">Wei et al.</w:t>
      </w:r>
      <w:r>
        <w:t xml:space="preserve"> </w:t>
      </w:r>
      <w:r>
        <w:t xml:space="preserve">(</w:t>
      </w:r>
      <w:r>
        <w:t xml:space="preserve">Wei et al.</w:t>
      </w:r>
      <w:r>
        <w:t xml:space="preserve">, 2023)</w:t>
      </w:r>
      <w:r>
        <w:t xml:space="preserve"> </w:t>
      </w:r>
      <w:r>
        <w:t xml:space="preserve">illustrate the same concern in a different form: a</w:t>
      </w:r>
      <w:r>
        <w:t xml:space="preserve"> </w:t>
      </w:r>
      <w:r>
        <w:t xml:space="preserve">tree-structured Parzen estimator tunes a CatBoost model for rigid-pavement faulting</w:t>
      </w:r>
      <w:r>
        <w:t xml:space="preserve"> </w:t>
      </w:r>
      <w:r>
        <w:t xml:space="preserve">on 160 LTPP observations across 17 candidate variables, with Boruta feature</w:t>
      </w:r>
      <w:r>
        <w:t xml:space="preserve"> </w:t>
      </w:r>
      <w:r>
        <w:t xml:space="preserve">selection applied as a preprocessing step whose position relative to the train/test</w:t>
      </w:r>
      <w:r>
        <w:t xml:space="preserve"> </w:t>
      </w:r>
      <w:r>
        <w:t xml:space="preserve">split is not established from the abstract alone — precisely the ambiguous case the</w:t>
      </w:r>
      <w:r>
        <w:t xml:space="preserve"> </w:t>
      </w:r>
      <w:r>
        <w:t xml:space="preserve">PAVE-ML leakage-risk rule (§10) codes as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pending full-text confirmation,</w:t>
      </w:r>
      <w:r>
        <w:t xml:space="preserve"> </w:t>
      </w:r>
      <w:r>
        <w:t xml:space="preserve">rather than assumed innocent or guilty by default.</w:t>
      </w:r>
    </w:p>
    <w:p>
      <w:pPr>
        <w:pStyle w:val="BodyText"/>
      </w:pPr>
      <w:r>
        <w:t xml:space="preserve">Deng and Shi’s practitioner-facing review of rutting models</w:t>
      </w:r>
      <w:r>
        <w:t xml:space="preserve"> </w:t>
      </w:r>
      <w:r>
        <w:t xml:space="preserve">(Deng and Shi, 2023)</w:t>
      </w:r>
      <w:r>
        <w:t xml:space="preserve"> </w:t>
      </w:r>
      <w:r>
        <w:t xml:space="preserve">adds</w:t>
      </w:r>
      <w:r>
        <w:t xml:space="preserve"> </w:t>
      </w:r>
      <w:r>
        <w:t xml:space="preserve">a data point this review’s own audit cannot generate on its own: a survey of which</w:t>
      </w:r>
      <w:r>
        <w:t xml:space="preserve"> </w:t>
      </w:r>
      <w:r>
        <w:t xml:space="preserve">rutting-prediction models highway agencies actually report using in practice. That</w:t>
      </w:r>
      <w:r>
        <w:t xml:space="preserve"> </w:t>
      </w:r>
      <w:r>
        <w:t xml:space="preserve">detail belongs with the deployment-evidence discussion in §9 and §10 as one of the</w:t>
      </w:r>
      <w:r>
        <w:t xml:space="preserve"> </w:t>
      </w:r>
      <w:r>
        <w:t xml:space="preserve">only direct looks, anywhere in the surrounding literature, at the demand side of</w:t>
      </w:r>
      <w:r>
        <w:t xml:space="preserve"> </w:t>
      </w:r>
      <w:r>
        <w:t xml:space="preserve">the deployment gap this review otherwise infers only from what published papers do</w:t>
      </w:r>
      <w:r>
        <w:t xml:space="preserve"> </w:t>
      </w:r>
      <w:r>
        <w:t xml:space="preserve">not report.</w:t>
      </w:r>
    </w:p>
    <w:bookmarkEnd w:id="30"/>
    <w:bookmarkStart w:id="31" w:name="sec-other-hybrids"/>
    <w:p>
      <w:pPr>
        <w:pStyle w:val="Heading1"/>
      </w:pPr>
      <w:r>
        <w:t xml:space="preserve">8. Physics-informed, fusion, stacking, decomposition and symbolic hybrids</w:t>
      </w:r>
    </w:p>
    <w:p>
      <w:pPr>
        <w:pStyle w:val="FirstParagraph"/>
      </w:pPr>
      <w:r>
        <w:t xml:space="preserve">The five hybridisation types beyond direct metaheuristic-hyperparameter coupling</w:t>
      </w:r>
      <w:r>
        <w:t xml:space="preserve"> </w:t>
      </w:r>
      <w:r>
        <w:t xml:space="preserve">(H3</w:t>
      </w:r>
      <w:r>
        <w:t xml:space="preserve">H7) are less numerous in the seed corpus than H1, but each supplies</w:t>
      </w:r>
      <w:r>
        <w:t xml:space="preserve"> </w:t>
      </w:r>
      <w:r>
        <w:t xml:space="preserve">at least one clear exemplar worth setting out in detail because each illustrates a</w:t>
      </w:r>
      <w:r>
        <w:t xml:space="preserve"> </w:t>
      </w:r>
      <w:r>
        <w:t xml:space="preserve">distinct failure mode that a reader unfamiliar with the taxonomy in §4 would not</w:t>
      </w:r>
      <w:r>
        <w:t xml:space="preserve"> </w:t>
      </w:r>
      <w:r>
        <w:t xml:space="preserve">otherwise anticipate.</w:t>
      </w:r>
    </w:p>
    <w:p>
      <w:pPr>
        <w:pStyle w:val="BodyText"/>
      </w:pPr>
      <w:r>
        <w:rPr>
          <w:b/>
          <w:bCs/>
        </w:rPr>
        <w:t xml:space="preserve">H4, architecture fusion</w:t>
      </w:r>
      <w:r>
        <w:t xml:space="preserve">, is best represented in the seed corpus by three vision</w:t>
      </w:r>
      <w:r>
        <w:t xml:space="preserve"> </w:t>
      </w:r>
      <w:r>
        <w:t xml:space="preserve">studies. Sun et al.’s PCDETR</w:t>
      </w:r>
      <w:r>
        <w:t xml:space="preserve"> </w:t>
      </w:r>
      <w:r>
        <w:t xml:space="preserve">(</w:t>
      </w:r>
      <w:r>
        <w:t xml:space="preserve">Sun et al.</w:t>
      </w:r>
      <w:r>
        <w:t xml:space="preserve">, 2023)</w:t>
      </w:r>
      <w:r>
        <w:t xml:space="preserve"> </w:t>
      </w:r>
      <w:r>
        <w:t xml:space="preserve">fuses a Swin-Transformer and a</w:t>
      </w:r>
      <w:r>
        <w:t xml:space="preserve"> </w:t>
      </w:r>
      <w:r>
        <w:t xml:space="preserve">ResNet backbone for pavement crack detection and reports near-identical average</w:t>
      </w:r>
      <w:r>
        <w:t xml:space="preserve"> </w:t>
      </w:r>
      <w:r>
        <w:t xml:space="preserve">precision on the authors’ own dataset and on COCO (45.6% vs. 45.8%) — a similarity</w:t>
      </w:r>
      <w:r>
        <w:t xml:space="preserve"> </w:t>
      </w:r>
      <w:r>
        <w:t xml:space="preserve">close enough across two very different image domains to warrant scrutiny rather</w:t>
      </w:r>
      <w:r>
        <w:t xml:space="preserve"> </w:t>
      </w:r>
      <w:r>
        <w:t xml:space="preserve">than to be read at face value as evidence of robust transfer. Alshawabkeh et al.</w:t>
      </w:r>
      <w:r>
        <w:t xml:space="preserve"> </w:t>
      </w:r>
      <w:r>
        <w:t xml:space="preserve">(</w:t>
      </w:r>
      <w:r>
        <w:t xml:space="preserve">Alshawabkeh et al.</w:t>
      </w:r>
      <w:r>
        <w:t xml:space="preserve">, 2023)</w:t>
      </w:r>
      <w:r>
        <w:t xml:space="preserve"> </w:t>
      </w:r>
      <w:r>
        <w:t xml:space="preserve">and Elhariri et al.</w:t>
      </w:r>
      <w:r>
        <w:t xml:space="preserve"> </w:t>
      </w:r>
      <w:r>
        <w:t xml:space="preserve">(Elhariri et al., 2020)</w:t>
      </w:r>
      <w:r>
        <w:t xml:space="preserve"> </w:t>
      </w:r>
      <w:r>
        <w:t xml:space="preserve">both couple</w:t>
      </w:r>
      <w:r>
        <w:t xml:space="preserve"> </w:t>
      </w:r>
      <w:r>
        <w:t xml:space="preserve">deep and hand-crafted feature extraction with a metaheuristic feature-selection</w:t>
      </w:r>
      <w:r>
        <w:t xml:space="preserve"> </w:t>
      </w:r>
      <w:r>
        <w:t xml:space="preserve">stage (jointly H1 and H4 under the taxonomy in §4), and both report a staged,</w:t>
      </w:r>
      <w:r>
        <w:t xml:space="preserve"> </w:t>
      </w:r>
      <w:r>
        <w:t xml:space="preserve">within-paper ablation — deep features alone, then with the added classifier, then</w:t>
      </w:r>
      <w:r>
        <w:t xml:space="preserve"> </w:t>
      </w:r>
      <w:r>
        <w:t xml:space="preserve">with the added optimiser — which is the design §9’s premium construct depends on</w:t>
      </w:r>
      <w:r>
        <w:t xml:space="preserve"> </w:t>
      </w:r>
      <w:r>
        <w:t xml:space="preserve">and which most H1 studies elsewhere in the corpus do not provide.</w:t>
      </w:r>
    </w:p>
    <w:p>
      <w:pPr>
        <w:pStyle w:val="BodyText"/>
      </w:pPr>
      <w:r>
        <w:rPr>
          <w:b/>
          <w:bCs/>
        </w:rPr>
        <w:t xml:space="preserve">H5, heterogeneous stacking</w:t>
      </w:r>
      <w:r>
        <w:t xml:space="preserve">, has one clear positive and one ambiguous exemplar</w:t>
      </w:r>
      <w:r>
        <w:t xml:space="preserve"> </w:t>
      </w:r>
      <w:r>
        <w:t xml:space="preserve">in the corpus, both already introduced in §9: Huang et al.</w:t>
      </w:r>
      <w:r>
        <w:t xml:space="preserve"> </w:t>
      </w:r>
      <w:r>
        <w:t xml:space="preserve">(</w:t>
      </w:r>
      <w:r>
        <w:t xml:space="preserve">Huang et al.</w:t>
      </w:r>
      <w:r>
        <w:t xml:space="preserve">, 2025)</w:t>
      </w:r>
      <w:r>
        <w:t xml:space="preserve"> </w:t>
      </w:r>
      <w:r>
        <w:t xml:space="preserve">train their meta-learner on cross-validated rather than</w:t>
      </w:r>
      <w:r>
        <w:t xml:space="preserve"> </w:t>
      </w:r>
      <w:r>
        <w:t xml:space="preserve">in-fold base-model predictions specifically to avoid leakage, and is cited</w:t>
      </w:r>
      <w:r>
        <w:t xml:space="preserve"> </w:t>
      </w:r>
      <w:r>
        <w:t xml:space="preserve">throughout this review (§9, §10) as the type’s positive case; Yu et al.</w:t>
      </w:r>
      <w:r>
        <w:t xml:space="preserve"> </w:t>
      </w:r>
      <w:r>
        <w:t xml:space="preserve">(</w:t>
      </w:r>
      <w:r>
        <w:t xml:space="preserve">Yu et al.</w:t>
      </w:r>
      <w:r>
        <w:t xml:space="preserve">, 2020)</w:t>
      </w:r>
      <w:r>
        <w:t xml:space="preserve"> </w:t>
      </w:r>
      <w:r>
        <w:t xml:space="preserve">stack five heterogeneous learners for tunnel pavement performance</w:t>
      </w:r>
      <w:r>
        <w:t xml:space="preserve"> </w:t>
      </w:r>
      <w:r>
        <w:t xml:space="preserve">within a digital-twin framework and report strong deployment integration, but</w:t>
      </w:r>
      <w:r>
        <w:t xml:space="preserve"> </w:t>
      </w:r>
      <w:r>
        <w:t xml:space="preserve">without the explicit leakage-avoidance statement that distinguishes Huang et al.’s</w:t>
      </w:r>
      <w:r>
        <w:t xml:space="preserve"> </w:t>
      </w:r>
      <w:r>
        <w:t xml:space="preserve">design.</w:t>
      </w:r>
    </w:p>
    <w:p>
      <w:pPr>
        <w:pStyle w:val="BodyText"/>
      </w:pPr>
      <w:r>
        <w:rPr>
          <w:b/>
          <w:bCs/>
        </w:rPr>
        <w:t xml:space="preserve">H6, decomposition then learn</w:t>
      </w:r>
      <w:r>
        <w:t xml:space="preserve">, is the one taxonomy type with, at the time of</w:t>
      </w:r>
      <w:r>
        <w:t xml:space="preserve"> </w:t>
      </w:r>
      <w:r>
        <w:t xml:space="preserve">writing, no confirmed pavement-specific exemplar in the seed corpus — every</w:t>
      </w:r>
      <w:r>
        <w:t xml:space="preserve"> </w:t>
      </w:r>
      <w:r>
        <w:t xml:space="preserve">wavelet- or VMD-based candidate located in the search so far belongs to an adjacent</w:t>
      </w:r>
      <w:r>
        <w:t xml:space="preserve"> </w:t>
      </w:r>
      <w:r>
        <w:t xml:space="preserve">domain (bridge deflection monitoring, energy-price forecasting) rather than to</w:t>
      </w:r>
      <w:r>
        <w:t xml:space="preserve"> </w:t>
      </w:r>
      <w:r>
        <w:t xml:space="preserve">pavement engineering directly. Its absence is reported here as a finding in its own</w:t>
      </w:r>
      <w:r>
        <w:t xml:space="preserve"> </w:t>
      </w:r>
      <w:r>
        <w:t xml:space="preserve">right, to be confirmed or overturned once the completed harvest is available, rather</w:t>
      </w:r>
      <w:r>
        <w:t xml:space="preserve"> </w:t>
      </w:r>
      <w:r>
        <w:t xml:space="preserve">than silently omitted.</w:t>
      </w:r>
    </w:p>
    <w:p>
      <w:pPr>
        <w:pStyle w:val="BodyText"/>
      </w:pPr>
      <w:r>
        <w:rPr>
          <w:b/>
          <w:bCs/>
        </w:rPr>
        <w:t xml:space="preserve">H3 (physics-informed)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H7 (symbolic</w:t>
      </w:r>
      <w:r>
        <w:rPr>
          <w:b/>
          <w:bCs/>
        </w:rPr>
        <w:t xml:space="preserve">numeric)</w:t>
      </w:r>
      <w:r>
        <w:t xml:space="preserve"> </w:t>
      </w:r>
      <w:r>
        <w:t xml:space="preserve">are each</w:t>
      </w:r>
      <w:r>
        <w:t xml:space="preserve"> </w:t>
      </w:r>
      <w:r>
        <w:t xml:space="preserve">introduced in §6 and §5 respectively</w:t>
      </w:r>
      <w:r>
        <w:t xml:space="preserve"> </w:t>
      </w:r>
      <w:r>
        <w:t xml:space="preserve">(</w:t>
      </w:r>
      <w:r>
        <w:t xml:space="preserve">Ghanizadeh et al.</w:t>
      </w:r>
      <w:r>
        <w:t xml:space="preserve">, 2024;</w:t>
      </w:r>
      <w:r>
        <w:t xml:space="preserve"> </w:t>
      </w:r>
      <w:r>
        <w:t xml:space="preserve">Ghorbani et al.</w:t>
      </w:r>
      <w:r>
        <w:t xml:space="preserve">, 2020; Pasupunuri et al., 2024)</w:t>
      </w:r>
      <w:r>
        <w:t xml:space="preserve"> </w:t>
      </w:r>
      <w:r>
        <w:t xml:space="preserve">and are not repeated here in</w:t>
      </w:r>
      <w:r>
        <w:t xml:space="preserve"> </w:t>
      </w:r>
      <w:r>
        <w:t xml:space="preserve">full; both recur in §10’s discussion of what a validated, mechanically consistent</w:t>
      </w:r>
      <w:r>
        <w:t xml:space="preserve"> </w:t>
      </w:r>
      <w:r>
        <w:t xml:space="preserve">model should be able to claim about its own interpretability that a purely post-hoc</w:t>
      </w:r>
      <w:r>
        <w:t xml:space="preserve"> </w:t>
      </w:r>
      <w:r>
        <w:t xml:space="preserve">explanation of an unvalidated model cannot.</w:t>
      </w:r>
    </w:p>
    <w:bookmarkEnd w:id="31"/>
    <w:bookmarkStart w:id="36" w:name="sec-premium"/>
    <w:p>
      <w:pPr>
        <w:pStyle w:val="Heading1"/>
      </w:pPr>
      <w:r>
        <w:t xml:space="preserve">9. The hybridisation premium</w:t>
      </w:r>
    </w:p>
    <w:bookmarkStart w:id="32" w:name="definition"/>
    <w:p>
      <w:pPr>
        <w:pStyle w:val="Heading2"/>
      </w:pPr>
      <w:r>
        <w:t xml:space="preserve">9.1 Definition</w:t>
      </w:r>
    </w:p>
    <w:p>
      <w:pPr>
        <w:pStyle w:val="FirstParagraph"/>
      </w:pPr>
      <w:r>
        <w:t xml:space="preserve">For a study reporting a hybrid model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hyb</m:t>
            </m:r>
          </m:sub>
        </m:sSub>
      </m:oMath>
      <w:r>
        <w:t xml:space="preserve"> </w:t>
      </w:r>
      <w:r>
        <w:t xml:space="preserve">(optimiser</w:t>
      </w:r>
      <w:r>
        <w:t xml:space="preserve"> </w:t>
      </w:r>
      <m:oMath>
        <m:r>
          <m:rPr>
            <m:sty m:val="p"/>
          </m:rPr>
          <m:t>⊕</m:t>
        </m:r>
      </m:oMath>
      <w:r>
        <w:t xml:space="preserve"> </w:t>
      </w:r>
      <w:r>
        <w:t xml:space="preserve">base</w:t>
      </w:r>
      <w:r>
        <w:t xml:space="preserve"> </w:t>
      </w:r>
      <w:r>
        <w:t xml:space="preserve">learner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) evaluated on a held-out partition, the</w:t>
      </w:r>
      <w:r>
        <w:t xml:space="preserve"> </w:t>
      </w:r>
      <w:r>
        <w:rPr>
          <w:b/>
          <w:bCs/>
        </w:rPr>
        <w:t xml:space="preserve">hybridisation premium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performance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hyb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performance</m:t>
          </m:r>
          <m:r>
            <m:rPr>
              <m:sty m:val="p"/>
            </m:rPr>
            <m:t>(</m:t>
          </m:r>
          <m:sSubSup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  <m:sup>
              <m:r>
                <m:rPr>
                  <m:nor/>
                  <m:sty m:val="p"/>
                </m:rPr>
                <m:t>tuned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M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r>
              <m:rPr>
                <m:nor/>
                <m:sty m:val="p"/>
              </m:rPr>
              <m:t>tuned</m:t>
            </m:r>
          </m:sup>
        </m:sSubSup>
      </m:oMath>
      <w:r>
        <w:t xml:space="preserve"> </w:t>
      </w:r>
      <w:r>
        <w:t xml:space="preserve">is the same base learner, tuned by a</w:t>
      </w:r>
      <w:r>
        <w:t xml:space="preserve"> </w:t>
      </w:r>
      <w:r>
        <w:t xml:space="preserve">conventional procedure under a</w:t>
      </w:r>
      <w:r>
        <w:t xml:space="preserve"> </w:t>
      </w:r>
      <w:r>
        <w:rPr>
          <w:b/>
          <w:bCs/>
        </w:rPr>
        <w:t xml:space="preserve">comparable evaluation budget</w:t>
      </w:r>
      <w:r>
        <w:t xml:space="preserve">, evaluated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partition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metric. All three constraints are load-bearing:</w:t>
      </w:r>
      <w:r>
        <w:t xml:space="preserve"> </w:t>
      </w:r>
      <w:r>
        <w:t xml:space="preserve">a premium computed against an untuned, default-setting baseline is not a measure of</w:t>
      </w:r>
      <w:r>
        <w:t xml:space="preserve"> </w:t>
      </w:r>
      <w:r>
        <w:t xml:space="preserve">what hybridisation contributes — it is a measure of what tuning contributes, mislabelled.</w:t>
      </w:r>
    </w:p>
    <w:bookmarkEnd w:id="32"/>
    <w:bookmarkStart w:id="33" w:name="what-the-completed-audit-will-report"/>
    <w:p>
      <w:pPr>
        <w:pStyle w:val="Heading2"/>
      </w:pPr>
      <w:r>
        <w:t xml:space="preserve">9.2 What the completed audit will report</w:t>
      </w:r>
    </w:p>
    <w:p>
      <w:pPr>
        <w:pStyle w:val="FirstParagraph"/>
      </w:pPr>
      <w:r>
        <w:t xml:space="preserve">Over the full coded corpus, the review will report, for every study attempting an</w:t>
      </w:r>
      <w:r>
        <w:t xml:space="preserve"> </w:t>
      </w:r>
      <w:r>
        <w:t xml:space="preserve">H1 or H2 coupling: whether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computable at all under the definition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premium_computable</w:t>
      </w:r>
      <w:r>
        <w:t xml:space="preserve">); its value where it is; whether the search budget was stated</w:t>
      </w:r>
      <w:r>
        <w:t xml:space="preserve"> </w:t>
      </w:r>
      <w:r>
        <w:t xml:space="preserve">for both the hybrid and the baseline arm (</w:t>
      </w:r>
      <w:r>
        <w:rPr>
          <w:rStyle w:val="VerbatimChar"/>
        </w:rPr>
        <w:t xml:space="preserve">budget_parity_reported</w:t>
      </w:r>
      <w:r>
        <w:t xml:space="preserve">); and, where a</w:t>
      </w:r>
      <w:r>
        <w:t xml:space="preserve"> </w:t>
      </w:r>
      <w:r>
        <w:t xml:space="preserve">newly named optimiser is the paper’s contribution, whether it was benchmarked</w:t>
      </w:r>
      <w:r>
        <w:t xml:space="preserve"> </w:t>
      </w:r>
      <w:r>
        <w:t xml:space="preserve">against at least two established optimisers on the same problem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optimiser_novelty_claim</w:t>
      </w:r>
      <w:r>
        <w:t xml:space="preserve">). These fields are specified in full, with worked</w:t>
      </w:r>
      <w:r>
        <w:t xml:space="preserve"> </w:t>
      </w:r>
      <w:r>
        <w:t xml:space="preserve">examples, in the PAVE-ML instrument (§10) and were fixed before full-text coding</w:t>
      </w:r>
      <w:r>
        <w:t xml:space="preserve"> </w:t>
      </w:r>
      <w:r>
        <w:t xml:space="preserve">began.</w:t>
      </w:r>
    </w:p>
    <w:bookmarkEnd w:id="33"/>
    <w:bookmarkStart w:id="35" w:name="X7f25b91c7f8b674ee1023e90faae5a96e47348b"/>
    <w:p>
      <w:pPr>
        <w:pStyle w:val="Heading2"/>
      </w:pPr>
      <w:r>
        <w:t xml:space="preserve">9.3 Preliminary evidence from the seed corpus</w:t>
      </w:r>
    </w:p>
    <w:p>
      <w:pPr>
        <w:pStyle w:val="FirstParagraph"/>
      </w:pPr>
      <w:r>
        <w:t xml:space="preserve">The completed audit is not yet available; what follows is the evidence already</w:t>
      </w:r>
      <w:r>
        <w:t xml:space="preserve"> </w:t>
      </w:r>
      <w:r>
        <w:t xml:space="preserve">visible in the seed corpus, presented as motivation for the audit rather than as</w:t>
      </w:r>
      <w:r>
        <w:t xml:space="preserve"> </w:t>
      </w:r>
      <w:r>
        <w:t xml:space="preserve">its result.</w:t>
      </w:r>
      <w:r>
        <w:t xml:space="preserve"> </w:t>
      </w:r>
      <w:hyperlink w:anchor="tbl-premium-evidence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collects every within-paper comparison in the</w:t>
      </w:r>
      <w:r>
        <w:t xml:space="preserve"> </w:t>
      </w:r>
      <w:r>
        <w:t xml:space="preserve">seed corpus close enough to a premium calculation to be informative, with every</w:t>
      </w:r>
      <w:r>
        <w:t xml:space="preserve"> </w:t>
      </w:r>
      <w:r>
        <w:t xml:space="preserve">figure copied verbatim from the source paper’s own reported results.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premium-evid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Within-corpus evidence bearing on the hybridisation premium. Every figure is copied verbatim from the cited paper’s own reported results; none is computed by the present review.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Non-hybrid 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Hybrid 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Premium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10.1038/s41598-022-17429-z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LSSVM (best single-kernel setting reported) vs. best of 6 swarm-optimised LSSVM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/ RMSE (MPa)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reported as a standalone tuned baseline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0.942 / 6.72 (best of six, SOS)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computable — no tuned non-hybrid baseline reported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paper compares six hybrids to each other, never to a conventionally tuned LSSVM. This is the missing-baseline pattern Section 9 quantifies.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10.28991/cej-2025-011-01-06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Eight individually-tuned learners (ANN, RNN, CNN among them) vs. Witczak/Hirsch mechanistic baselines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(dynamic modulus)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Witczak 1-40D / Hirsch (mechanistic)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bagging ensemble, individually tuned (highest of eight)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positive but modest — mechanistic models remain competitive; deep architectures do NOT win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field’s clearest example of tuning parity: every learner gets its own search budget, and the winner is a tuned ensemble tree, not a hybrid or a deep net.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10.1016/j.sandf.2020.02.010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GA-fitted symbolic equation (H7-adjacent) vs. ANN-GA (GA on ANN weights, H2)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(resilient modulus)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GA-only symbolic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ANN-GA hybrid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ANN-GA reported higher R2, but adds a black-box layer over an already-competitive symbolic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Rare true head-to-head between two hybrid types on identical data — flagged for full-text extraction of exact R2 values.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10.3390/app9163221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PSO-ANN vs. PSO-ELM vs. kernel-ELM, all reported within one paper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RMSE / R2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PSO-ANN (same optimiser, different base learner)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PSO-ELM (best reported)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small, same-optimiser architecture comparison — isolates base-learner choice, not optimiser 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Useful for a different question than the premium: it holds the optimiser constant and varies the learner, the mirror image of what Section 9 needs.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10.3390/ma18122913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ML models (KNN, Bayesian ridge, decision tree) vs. stacking ensemble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(G* and phase angle)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best single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stacking (R2 = 0.973 / 0.999)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positive, and the ONLY row in this table where leakage is explicitly controlled by 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Cross-validated meta-features stated as a deliberate leakage-avoidance choice — the paper we cite as the positive PAVE-ML exemplar.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Two readings of this table matter more than any single row. First,</w:t>
      </w:r>
      <w:r>
        <w:t xml:space="preserve"> </w:t>
      </w:r>
      <w:r>
        <w:rPr>
          <w:b/>
          <w:bCs/>
        </w:rPr>
        <w:t xml:space="preserve">the comparison the premium requires is usually absent, not unfavourable.</w:t>
      </w:r>
      <w:r>
        <w:t xml:space="preserve"> </w:t>
      </w:r>
      <w:r>
        <w:t xml:space="preserve">Of the five rows, only two</w:t>
      </w:r>
      <w:r>
        <w:t xml:space="preserve"> </w:t>
      </w:r>
      <w:r>
        <w:t xml:space="preserve">(</w:t>
      </w:r>
      <w:r>
        <w:t xml:space="preserve">Azam et al.</w:t>
      </w:r>
      <w:r>
        <w:t xml:space="preserve">, 2022;</w:t>
      </w:r>
      <w:r>
        <w:t xml:space="preserve"> </w:t>
      </w:r>
      <w:r>
        <w:t xml:space="preserve">Huang et al.</w:t>
      </w:r>
      <w:r>
        <w:t xml:space="preserve">, 2025)</w:t>
      </w:r>
      <w:r>
        <w:t xml:space="preserve"> </w:t>
      </w:r>
      <w:r>
        <w:t xml:space="preserve">involve a</w:t>
      </w:r>
      <w:r>
        <w:t xml:space="preserve"> </w:t>
      </w:r>
      <w:r>
        <w:t xml:space="preserve">paper that reports enough to attempt a premium calculation at all, and</w:t>
      </w:r>
      <w:r>
        <w:t xml:space="preserve"> </w:t>
      </w:r>
      <w:r>
        <w:t xml:space="preserve">Azam et al.</w:t>
      </w:r>
      <w:r>
        <w:t xml:space="preserve"> </w:t>
      </w:r>
      <w:r>
        <w:t xml:space="preserve">(2022)</w:t>
      </w:r>
      <w:r>
        <w:t xml:space="preserve">’s own six-optimiser comparison never includes the one</w:t>
      </w:r>
      <w:r>
        <w:t xml:space="preserve"> </w:t>
      </w:r>
      <w:r>
        <w:t xml:space="preserve">comparator — a conventionally tuned, non-hybrid version of the same LSSVM — that</w:t>
      </w:r>
      <w:r>
        <w:t xml:space="preserve"> </w:t>
      </w:r>
      <w:r>
        <w:t xml:space="preserve">would let a reader compute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This is the pattern the full audit is built to</w:t>
      </w:r>
      <w:r>
        <w:t xml:space="preserve"> </w:t>
      </w:r>
      <w:r>
        <w:t xml:space="preserve">quantify: the missing baseline, not a negative result, is the dominant finding so</w:t>
      </w:r>
      <w:r>
        <w:t xml:space="preserve"> </w:t>
      </w:r>
      <w:r>
        <w:t xml:space="preserve">far. Second,</w:t>
      </w:r>
      <w:r>
        <w:t xml:space="preserve"> </w:t>
      </w:r>
      <w:r>
        <w:rPr>
          <w:b/>
          <w:bCs/>
        </w:rPr>
        <w:t xml:space="preserve">where tuning parity is closest to being honoured, the hybrid or</w:t>
      </w:r>
      <w:r>
        <w:rPr>
          <w:b/>
          <w:bCs/>
        </w:rPr>
        <w:t xml:space="preserve"> </w:t>
      </w:r>
      <w:r>
        <w:rPr>
          <w:b/>
          <w:bCs/>
        </w:rPr>
        <w:t xml:space="preserve">deep-architecture advantage narrows.</w:t>
      </w:r>
      <w:r>
        <w:t xml:space="preserve"> </w:t>
      </w:r>
      <w:r>
        <w:t xml:space="preserve">Zeiada et al.</w:t>
      </w:r>
      <w:r>
        <w:t xml:space="preserve"> </w:t>
      </w:r>
      <w:r>
        <w:t xml:space="preserve">(2025)</w:t>
      </w:r>
      <w:r>
        <w:t xml:space="preserve"> </w:t>
      </w:r>
      <w:r>
        <w:t xml:space="preserve">tunes eight</w:t>
      </w:r>
      <w:r>
        <w:t xml:space="preserve"> </w:t>
      </w:r>
      <w:r>
        <w:t xml:space="preserve">architectures individually, including deep networks, against both each other and</w:t>
      </w:r>
      <w:r>
        <w:t xml:space="preserve"> </w:t>
      </w:r>
      <w:r>
        <w:t xml:space="preserve">two established mechanistic models; the winner is a tuned bagging ensemble. Neither</w:t>
      </w:r>
      <w:r>
        <w:t xml:space="preserve"> </w:t>
      </w:r>
      <w:r>
        <w:t xml:space="preserve">a hybrid nor a deep architecture prevailed once every competitor received its own</w:t>
      </w:r>
      <w:r>
        <w:t xml:space="preserve"> </w:t>
      </w:r>
      <w:r>
        <w:t xml:space="preserve">search budget.</w:t>
      </w:r>
      <w:r>
        <w:t xml:space="preserve"> </w:t>
      </w:r>
      <w:r>
        <w:t xml:space="preserve">Huang et al.</w:t>
      </w:r>
      <w:r>
        <w:t xml:space="preserve"> </w:t>
      </w:r>
      <w:r>
        <w:t xml:space="preserve">(2025)</w:t>
      </w:r>
      <w:r>
        <w:t xml:space="preserve"> </w:t>
      </w:r>
      <w:r>
        <w:t xml:space="preserve">is, so far, the seed corpus’s clearest positive</w:t>
      </w:r>
      <w:r>
        <w:t xml:space="preserve"> </w:t>
      </w:r>
      <w:r>
        <w:t xml:space="preserve">counter-example — a heterogeneous stacking ensemble (H5) that both reports a</w:t>
      </w:r>
      <w:r>
        <w:t xml:space="preserve"> </w:t>
      </w:r>
      <w:r>
        <w:t xml:space="preserve">credible premium over single models and states explicitly that its meta-learner was</w:t>
      </w:r>
      <w:r>
        <w:t xml:space="preserve"> </w:t>
      </w:r>
      <w:r>
        <w:t xml:space="preserve">trained on cross-validated, not in-fold, base-model predictions specifically to</w:t>
      </w:r>
      <w:r>
        <w:t xml:space="preserve"> </w:t>
      </w:r>
      <w:r>
        <w:t xml:space="preserve">avoid the leakage pathway characteristic of that hybridisation type (§4, H5). It is</w:t>
      </w:r>
      <w:r>
        <w:t xml:space="preserve"> </w:t>
      </w:r>
      <w:r>
        <w:t xml:space="preserve">cited in §10 as the positive PAVE-ML exemplar for exactly this reason.</w:t>
      </w:r>
    </w:p>
    <w:p>
      <w:pPr>
        <w:pStyle w:val="BodyText"/>
      </w:pPr>
      <w:r>
        <w:t xml:space="preserve">Neither reading should be generalised past what five studies can support. They are</w:t>
      </w:r>
      <w:r>
        <w:t xml:space="preserve"> </w:t>
      </w:r>
      <w:r>
        <w:t xml:space="preserve">reported here as the reason the systematic audit in this section is worth</w:t>
      </w:r>
      <w:r>
        <w:t xml:space="preserve"> </w:t>
      </w:r>
      <w:r>
        <w:t xml:space="preserve">completing, not as its substitute.</w:t>
      </w:r>
    </w:p>
    <w:bookmarkEnd w:id="35"/>
    <w:bookmarkEnd w:id="36"/>
    <w:bookmarkStart w:id="37" w:name="sec-interpretability"/>
    <w:p>
      <w:pPr>
        <w:pStyle w:val="Heading1"/>
      </w:pPr>
      <w:r>
        <w:t xml:space="preserve">10. Interpretability and uncertainty in hybrid pipelines</w:t>
      </w:r>
    </w:p>
    <w:p>
      <w:pPr>
        <w:pStyle w:val="FirstParagraph"/>
      </w:pPr>
      <w:r>
        <w:t xml:space="preserve">PLACEHOLDER.</w:t>
      </w:r>
    </w:p>
    <w:bookmarkEnd w:id="37"/>
    <w:bookmarkStart w:id="38" w:name="sec-decision"/>
    <w:p>
      <w:pPr>
        <w:pStyle w:val="Heading1"/>
      </w:pPr>
      <w:r>
        <w:t xml:space="preserve">11. From premium to decision</w:t>
      </w:r>
    </w:p>
    <w:p>
      <w:pPr>
        <w:pStyle w:val="FirstParagraph"/>
      </w:pPr>
      <w:r>
        <w:t xml:space="preserve">A premium, once measured, still needs to be worth having. Two studies, from either</w:t>
      </w:r>
      <w:r>
        <w:t xml:space="preserve"> </w:t>
      </w:r>
      <w:r>
        <w:t xml:space="preserve">end of the pavement management hierarchy, supply a yardstick for judging that.</w:t>
      </w:r>
      <w:r>
        <w:t xml:space="preserve"> </w:t>
      </w:r>
      <w:r>
        <w:t xml:space="preserve">Hosseini and Smadi</w:t>
      </w:r>
      <w:r>
        <w:t xml:space="preserve"> </w:t>
      </w:r>
      <w:r>
        <w:t xml:space="preserve">(Hosseini and Smadi, 2021)</w:t>
      </w:r>
      <w:r>
        <w:t xml:space="preserve"> </w:t>
      </w:r>
      <w:r>
        <w:t xml:space="preserve">work at the network level: injecting</w:t>
      </w:r>
      <w:r>
        <w:t xml:space="preserve"> </w:t>
      </w:r>
      <w:r>
        <w:t xml:space="preserve">10–90% error into a pavement performance prediction and propagating it through a</w:t>
      </w:r>
      <w:r>
        <w:t xml:space="preserve"> </w:t>
      </w:r>
      <w:r>
        <w:t xml:space="preserve">20-year network-level maintenance and rehabilitation schedule, they price the</w:t>
      </w:r>
      <w:r>
        <w:t xml:space="preserve"> </w:t>
      </w:r>
      <w:r>
        <w:t xml:space="preserve">resulting treatment-cost consequence directly. Georgouli, Plati and Loizos</w:t>
      </w:r>
      <w:r>
        <w:t xml:space="preserve"> </w:t>
      </w:r>
      <w:r>
        <w:t xml:space="preserve">(Georgouli et al., 2026)</w:t>
      </w:r>
      <w:r>
        <w:t xml:space="preserve">, newer and at the project level, price the same kind of</w:t>
      </w:r>
      <w:r>
        <w:t xml:space="preserve"> </w:t>
      </w:r>
      <w:r>
        <w:t xml:space="preserve">consequence for a single input rather than a whole prediction: they show that the</w:t>
      </w:r>
      <w:r>
        <w:t xml:space="preserve"> </w:t>
      </w:r>
      <w:r>
        <w:t xml:space="preserve">choice between the NCHRP 1-37A dynamic-modulus model and a locally calibrated</w:t>
      </w:r>
      <w:r>
        <w:t xml:space="preserve"> </w:t>
      </w:r>
      <w:r>
        <w:t xml:space="preserve">alternative propagates through a mechanistic-empirical rutting simulation (3D-Move)</w:t>
      </w:r>
      <w:r>
        <w:t xml:space="preserve"> </w:t>
      </w:r>
      <w:r>
        <w:t xml:space="preserve">into a materially different rutting estimate, with the uncalibrated model</w:t>
      </w:r>
      <w:r>
        <w:t xml:space="preserve"> </w:t>
      </w:r>
      <w:r>
        <w:t xml:space="preserve">systematically overestimating deformation. Read together, the two studies supply a</w:t>
      </w:r>
      <w:r>
        <w:t xml:space="preserve"> </w:t>
      </w:r>
      <w:r>
        <w:t xml:space="preserve">yardstick for a hybridisation premium at both ends of the pavement management</w:t>
      </w:r>
      <w:r>
        <w:t xml:space="preserve"> </w:t>
      </w:r>
      <w:r>
        <w:t xml:space="preserve">hierarchy — not whether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but whether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large enough, at the</w:t>
      </w:r>
      <w:r>
        <w:t xml:space="preserve"> </w:t>
      </w:r>
      <w:r>
        <w:t xml:space="preserve">accuracy level the underlying prediction task already operates at, to change which</w:t>
      </w:r>
      <w:r>
        <w:t xml:space="preserve"> </w:t>
      </w:r>
      <w:r>
        <w:t xml:space="preserve">treatment gets scheduled, when, or how a single input propagates through a</w:t>
      </w:r>
      <w:r>
        <w:t xml:space="preserve"> </w:t>
      </w:r>
      <w:r>
        <w:t xml:space="preserve">downstream design calculation. A premium of a few hundredths of a unit of R</w:t>
      </w:r>
      <w:r>
        <w:rPr>
          <w:vertAlign w:val="superscript"/>
        </w:rPr>
        <w:t xml:space="preserve">2</w:t>
      </w:r>
      <w:r>
        <w:t xml:space="preserve">, of</w:t>
      </w:r>
      <w:r>
        <w:t xml:space="preserve"> </w:t>
      </w:r>
      <w:r>
        <w:t xml:space="preserve">the kind several rows in</w:t>
      </w:r>
      <w:r>
        <w:t xml:space="preserve"> </w:t>
      </w:r>
      <w:hyperlink w:anchor="tbl-premium-evidence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report or gesture toward, is a</w:t>
      </w:r>
      <w:r>
        <w:t xml:space="preserve"> </w:t>
      </w:r>
      <w:r>
        <w:t xml:space="preserve">strong candidate for being decision-irrelevant by this standard; the completed</w:t>
      </w:r>
      <w:r>
        <w:t xml:space="preserve"> </w:t>
      </w:r>
      <w:r>
        <w:t xml:space="preserve">audit will report, for every study where both a premium and enough contextual</w:t>
      </w:r>
      <w:r>
        <w:t xml:space="preserve"> </w:t>
      </w:r>
      <w:r>
        <w:t xml:space="preserve">detail are available, whether the premium plausibly clears this bar or not. This</w:t>
      </w:r>
      <w:r>
        <w:t xml:space="preserve"> </w:t>
      </w:r>
      <w:r>
        <w:t xml:space="preserve">section will be completed once that judgement can be made study by study rather</w:t>
      </w:r>
      <w:r>
        <w:t xml:space="preserve"> </w:t>
      </w:r>
      <w:r>
        <w:t xml:space="preserve">than asserted in general.</w:t>
      </w:r>
    </w:p>
    <w:bookmarkEnd w:id="38"/>
    <w:bookmarkStart w:id="39" w:name="sec-paveml"/>
    <w:p>
      <w:pPr>
        <w:pStyle w:val="Heading1"/>
      </w:pPr>
      <w:r>
        <w:t xml:space="preserve">12. PAVE-ML: a reporting and appraisal checklist</w:t>
      </w:r>
    </w:p>
    <w:p>
      <w:pPr>
        <w:pStyle w:val="FirstParagraph"/>
      </w:pPr>
      <w:r>
        <w:t xml:space="preserve">The audit this review conducts is only as trustworthy as the coding rules behind</w:t>
      </w:r>
      <w:r>
        <w:t xml:space="preserve"> </w:t>
      </w:r>
      <w:r>
        <w:t xml:space="preserve">it, and those rules are only useful to the field if they survive as something other</w:t>
      </w:r>
      <w:r>
        <w:t xml:space="preserve"> </w:t>
      </w:r>
      <w:r>
        <w:t xml:space="preserve">than this paper’s internal methodology. PAVE-ML is offered as both: the instrument</w:t>
      </w:r>
      <w:r>
        <w:t xml:space="preserve"> </w:t>
      </w:r>
      <w:r>
        <w:t xml:space="preserve">this review scores every included study against, and a checklist future studies can</w:t>
      </w:r>
      <w:r>
        <w:t xml:space="preserve"> </w:t>
      </w:r>
      <w:r>
        <w:t xml:space="preserve">score themselves against before submission.</w:t>
      </w:r>
    </w:p>
    <w:p>
      <w:pPr>
        <w:pStyle w:val="BodyText"/>
      </w:pPr>
      <w:r>
        <w:t xml:space="preserve">The full instrument — twenty items across five domains (data provenance,</w:t>
      </w:r>
      <w:r>
        <w:t xml:space="preserve"> </w:t>
      </w:r>
      <w:r>
        <w:t xml:space="preserve">preprocessing and partitioning, modelling and comparison, evaluation and</w:t>
      </w:r>
      <w:r>
        <w:t xml:space="preserve"> </w:t>
      </w:r>
      <w:r>
        <w:t xml:space="preserve">interpretation, and generalisation and transparency), plus four items specific to</w:t>
      </w:r>
      <w:r>
        <w:t xml:space="preserve"> </w:t>
      </w:r>
      <w:r>
        <w:t xml:space="preserve">hybrid pipelines — is reproduced in full in the supplementary material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docs/03_PAVE-ML_instrument.md</w:t>
      </w:r>
      <w:r>
        <w:t xml:space="preserve">), together with the operational decision rules and</w:t>
      </w:r>
      <w:r>
        <w:t xml:space="preserve"> </w:t>
      </w:r>
      <w:r>
        <w:t xml:space="preserve">worked examples that make the coding reproducible rather than a matter of reader</w:t>
      </w:r>
      <w:r>
        <w:t xml:space="preserve"> </w:t>
      </w:r>
      <w:r>
        <w:t xml:space="preserve">judgement. Two design choices are worth stating here because they determine how the</w:t>
      </w:r>
      <w:r>
        <w:t xml:space="preserve"> </w:t>
      </w:r>
      <w:r>
        <w:t xml:space="preserve">audit’s headline numbers should be read. First,</w:t>
      </w:r>
      <w:r>
        <w:t xml:space="preserve"> </w:t>
      </w:r>
      <w:r>
        <w:rPr>
          <w:b/>
          <w:bCs/>
        </w:rPr>
        <w:t xml:space="preserve">silence is coded as absence, not</w:t>
      </w:r>
      <w:r>
        <w:rPr>
          <w:b/>
          <w:bCs/>
        </w:rPr>
        <w:t xml:space="preserve"> </w:t>
      </w:r>
      <w:r>
        <w:rPr>
          <w:b/>
          <w:bCs/>
        </w:rPr>
        <w:t xml:space="preserve">as unclear</w:t>
      </w:r>
      <w:r>
        <w:t xml:space="preserve"> </w:t>
      </w:r>
      <w:r>
        <w:t xml:space="preserve">— if a study does not state that its test partition was held out</w:t>
      </w:r>
      <w:r>
        <w:t xml:space="preserve"> </w:t>
      </w:r>
      <w:r>
        <w:t xml:space="preserve">independently of hyperparameter selection, that is coded</w:t>
      </w:r>
      <w:r>
        <w:t xml:space="preserve"> </w:t>
      </w:r>
      <w:r>
        <w:rPr>
          <w:rStyle w:val="VerbatimChar"/>
        </w:rPr>
        <w:t xml:space="preserve">no</w:t>
      </w:r>
      <w:r>
        <w:t xml:space="preserve">, following the</w:t>
      </w:r>
      <w:r>
        <w:t xml:space="preserve"> </w:t>
      </w:r>
      <w:r>
        <w:t xml:space="preserve">convention used in clinical prediction-model appraisal (TRIPOD, PROBAST), because it</w:t>
      </w:r>
      <w:r>
        <w:t xml:space="preserve"> </w:t>
      </w:r>
      <w:r>
        <w:t xml:space="preserve">is the only convention that cannot be accused of charitable reading. Second, the</w:t>
      </w:r>
      <w:r>
        <w:t xml:space="preserve"> </w:t>
      </w:r>
      <w:r>
        <w:t xml:space="preserve">four hybrid-specific items require a study to report its base learner’s performance</w:t>
      </w:r>
      <w:r>
        <w:t xml:space="preserve"> </w:t>
      </w:r>
      <w:r>
        <w:t xml:space="preserve">both with and without the hybridising component on the same partition and metric</w:t>
      </w:r>
      <w:r>
        <w:t xml:space="preserve"> </w:t>
      </w:r>
      <w:r>
        <w:t xml:space="preserve">(item 12a); to state the search budget for both arms so that parity can be assessed</w:t>
      </w:r>
      <w:r>
        <w:t xml:space="preserve"> </w:t>
      </w:r>
      <w:r>
        <w:t xml:space="preserve">(12b); to run stochastic optimisers more than once and report the spread rather</w:t>
      </w:r>
      <w:r>
        <w:t xml:space="preserve"> </w:t>
      </w:r>
      <w:r>
        <w:t xml:space="preserve">than the best run (12c); and, where a newly named optimiser is the contribution, to</w:t>
      </w:r>
      <w:r>
        <w:t xml:space="preserve"> </w:t>
      </w:r>
      <w:r>
        <w:t xml:space="preserve">benchmark it against at least two established optimisers on the same problem (12d).</w:t>
      </w:r>
      <w:r>
        <w:t xml:space="preserve"> </w:t>
      </w:r>
      <w:r>
        <w:t xml:space="preserve">Huang et al.</w:t>
      </w:r>
      <w:r>
        <w:t xml:space="preserve"> </w:t>
      </w:r>
      <w:r>
        <w:t xml:space="preserve">(2025)</w:t>
      </w:r>
      <w:r>
        <w:t xml:space="preserve"> </w:t>
      </w:r>
      <w:r>
        <w:t xml:space="preserve">is, at the time of writing, the clearest example in the seed</w:t>
      </w:r>
      <w:r>
        <w:t xml:space="preserve"> </w:t>
      </w:r>
      <w:r>
        <w:t xml:space="preserve">corpus of a study satisfying the spirit of items in this list without having been</w:t>
      </w:r>
      <w:r>
        <w:t xml:space="preserve"> </w:t>
      </w:r>
      <w:r>
        <w:t xml:space="preserve">written against it — its stacking meta-learner is trained on cross-validated,</w:t>
      </w:r>
      <w:r>
        <w:t xml:space="preserve"> </w:t>
      </w:r>
      <w:r>
        <w:t xml:space="preserve">not in-fold, predictions specifically to avoid leakage, which is exactly the</w:t>
      </w:r>
      <w:r>
        <w:t xml:space="preserve"> </w:t>
      </w:r>
      <w:r>
        <w:t xml:space="preserve">practice item 7 of the general instrument (grouped/blocked partitioning respected</w:t>
      </w:r>
      <w:r>
        <w:t xml:space="preserve"> </w:t>
      </w:r>
      <w:r>
        <w:t xml:space="preserve">by all fitted preprocessing) is written to detect the absence of.</w:t>
      </w:r>
    </w:p>
    <w:p>
      <w:pPr>
        <w:pStyle w:val="BodyText"/>
      </w:pPr>
      <w:r>
        <w:t xml:space="preserve">The reliability of the instrument itself will be reported, not assumed: a random</w:t>
      </w:r>
      <w:r>
        <w:t xml:space="preserve"> </w:t>
      </w:r>
      <w:r>
        <w:t xml:space="preserve">15% of the fully coded corpus will be independently double-coded,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reported per field, and any field falling below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will have its</w:t>
      </w:r>
      <w:r>
        <w:t xml:space="preserve"> </w:t>
      </w:r>
      <w:r>
        <w:t xml:space="preserve">decision rule rewritten and be recoded in full rather than reported with a caveat.</w:t>
      </w:r>
      <w:r>
        <w:t xml:space="preserve"> </w:t>
      </w:r>
      <w:r>
        <w:t xml:space="preserve">This procedure, and its result, are reported in full in the completed manuscript.</w:t>
      </w:r>
    </w:p>
    <w:bookmarkEnd w:id="39"/>
    <w:bookmarkStart w:id="40" w:name="sec-agenda"/>
    <w:p>
      <w:pPr>
        <w:pStyle w:val="Heading1"/>
      </w:pPr>
      <w:r>
        <w:t xml:space="preserve">13. Research agenda</w:t>
      </w:r>
    </w:p>
    <w:p>
      <w:pPr>
        <w:pStyle w:val="FirstParagraph"/>
      </w:pPr>
      <w:r>
        <w:t xml:space="preserve">The seed corpus and the taxonomy built from it are sufficient to state a research</w:t>
      </w:r>
      <w:r>
        <w:t xml:space="preserve"> </w:t>
      </w:r>
      <w:r>
        <w:t xml:space="preserve">agenda now, even though the systematic audit that will refine it is not yet</w:t>
      </w:r>
      <w:r>
        <w:t xml:space="preserve"> </w:t>
      </w:r>
      <w:r>
        <w:t xml:space="preserve">complete. Ten directions follow, each stated as a testable question paired with the</w:t>
      </w:r>
      <w:r>
        <w:t xml:space="preserve"> </w:t>
      </w:r>
      <w:r>
        <w:t xml:space="preserve">data and method that would settle it, rather than as a general aspiration.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missing baseline.</w:t>
      </w:r>
      <w:r>
        <w:t xml:space="preserve"> </w:t>
      </w:r>
      <w:r>
        <w:t xml:space="preserve">For every H1/H2 study reporting a hybrid model,</w:t>
      </w:r>
      <w:r>
        <w:t xml:space="preserve"> </w:t>
      </w:r>
      <w:r>
        <w:t xml:space="preserve">does the paper also report the same base learner tuned conventionally, on the</w:t>
      </w:r>
      <w:r>
        <w:t xml:space="preserve"> </w:t>
      </w:r>
      <w:r>
        <w:t xml:space="preserve">same partition and metric, under a comparable search budget? §9’s preliminary</w:t>
      </w:r>
      <w:r>
        <w:t xml:space="preserve"> </w:t>
      </w:r>
      <w:r>
        <w:t xml:space="preserve">evidence suggests the answer is usually no; the completed audit will report how</w:t>
      </w:r>
      <w:r>
        <w:t xml:space="preserve"> </w:t>
      </w:r>
      <w:r>
        <w:t xml:space="preserve">often, across the full corpus, not just the five within-paper cases examined</w:t>
      </w:r>
      <w:r>
        <w:t xml:space="preserve"> </w:t>
      </w:r>
      <w:r>
        <w:t xml:space="preserve">so far.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Search-budget parity.</w:t>
      </w:r>
      <w:r>
        <w:t xml:space="preserve"> </w:t>
      </w:r>
      <w:r>
        <w:t xml:space="preserve">Among H1/H2 studies, what fraction report the number</w:t>
      </w:r>
      <w:r>
        <w:t xml:space="preserve"> </w:t>
      </w:r>
      <w:r>
        <w:t xml:space="preserve">of function evaluations, iterations, or wall-clock time spent tuning the hybrid</w:t>
      </w:r>
      <w:r>
        <w:t xml:space="preserve"> </w:t>
      </w:r>
      <w:r>
        <w:t xml:space="preserve">arm versus the baseline arm? PAVE-ML item 12b is designed to make this</w:t>
      </w:r>
      <w:r>
        <w:t xml:space="preserve"> </w:t>
      </w:r>
      <w:r>
        <w:t xml:space="preserve">answerable at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Optimiser proliferation versus optimiser value.</w:t>
      </w:r>
      <w:r>
        <w:t xml:space="preserve"> </w:t>
      </w:r>
      <w:r>
        <w:t xml:space="preserve">Dozens of named</w:t>
      </w:r>
      <w:r>
        <w:t xml:space="preserve"> </w:t>
      </w:r>
      <w:r>
        <w:t xml:space="preserve">metaheuristics recur across this literature (§4). Does a newly proposed</w:t>
      </w:r>
      <w:r>
        <w:t xml:space="preserve"> </w:t>
      </w:r>
      <w:r>
        <w:t xml:space="preserve">optimiser outperform two or more established optimisers on the same pavement</w:t>
      </w:r>
      <w:r>
        <w:t xml:space="preserve"> </w:t>
      </w:r>
      <w:r>
        <w:t xml:space="preserve">problem, or only outperform an unspecified or untuned baseline? PAVE-ML item</w:t>
      </w:r>
      <w:r>
        <w:t xml:space="preserve"> </w:t>
      </w:r>
      <w:r>
        <w:t xml:space="preserve">12d targets this directly.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Section-grouped partitioning for LTPP-derived studies.</w:t>
      </w:r>
      <w:r>
        <w:t xml:space="preserve"> </w:t>
      </w:r>
      <w:r>
        <w:t xml:space="preserve">Several</w:t>
      </w:r>
      <w:r>
        <w:t xml:space="preserve"> </w:t>
      </w:r>
      <w:r>
        <w:t xml:space="preserve">performance-prediction studies share overlapping LTPP substrates (§7). A</w:t>
      </w:r>
      <w:r>
        <w:t xml:space="preserve"> </w:t>
      </w:r>
      <w:r>
        <w:t xml:space="preserve">systematic re-derivation, from the LTPP database directly, of whether published</w:t>
      </w:r>
      <w:r>
        <w:t xml:space="preserve"> </w:t>
      </w:r>
      <w:r>
        <w:t xml:space="preserve">cross-validation folds respect section-level grouping would settle a question</w:t>
      </w:r>
      <w:r>
        <w:t xml:space="preserve"> </w:t>
      </w:r>
      <w:r>
        <w:t xml:space="preserve">the published papers’ abstracts cannot.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H6 gap.</w:t>
      </w:r>
      <w:r>
        <w:t xml:space="preserve"> </w:t>
      </w:r>
      <w:r>
        <w:t xml:space="preserve">No pavement-specific decomposition-then-learn (H6) study was</w:t>
      </w:r>
      <w:r>
        <w:t xml:space="preserve"> </w:t>
      </w:r>
      <w:r>
        <w:t xml:space="preserve">located in the seed corpus (§8). Is this a genuine absence in the pavement</w:t>
      </w:r>
      <w:r>
        <w:t xml:space="preserve"> </w:t>
      </w:r>
      <w:r>
        <w:t xml:space="preserve">literature, or an artefact of the search terms used so far? The completed</w:t>
      </w:r>
      <w:r>
        <w:t xml:space="preserve"> </w:t>
      </w:r>
      <w:r>
        <w:t xml:space="preserve">harvest, with its wider algorithm-name coverage, will distinguish the two.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Physics-informed learning beyond one exemplar.</w:t>
      </w:r>
      <w:r>
        <w:t xml:space="preserve"> </w:t>
      </w:r>
      <w:r>
        <w:t xml:space="preserve">Pasupunuri et al. (2024)</w:t>
      </w:r>
      <w:r>
        <w:t xml:space="preserve"> </w:t>
      </w:r>
      <w:r>
        <w:t xml:space="preserve">is</w:t>
      </w:r>
      <w:r>
        <w:t xml:space="preserve"> </w:t>
      </w:r>
      <w:r>
        <w:t xml:space="preserve">presently the seed corpus’s only clear H3 case. Does the completed harvest find</w:t>
      </w:r>
      <w:r>
        <w:t xml:space="preserve"> </w:t>
      </w:r>
      <w:r>
        <w:t xml:space="preserve">others, and if genuinely few exist, why has physics-constrained learning been</w:t>
      </w:r>
      <w:r>
        <w:t xml:space="preserve"> </w:t>
      </w:r>
      <w:r>
        <w:t xml:space="preserve">adopted so much more slowly in pavement engineering than in adjacent fields</w:t>
      </w:r>
      <w:r>
        <w:t xml:space="preserve"> </w:t>
      </w:r>
      <w:r>
        <w:t xml:space="preserve">such as structural health monitoring?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Interpretability on validated models only.</w:t>
      </w:r>
      <w:r>
        <w:t xml:space="preserve"> </w:t>
      </w:r>
      <w:r>
        <w:t xml:space="preserve">§10 and §11 argue that a SHAP or</w:t>
      </w:r>
      <w:r>
        <w:t xml:space="preserve"> </w:t>
      </w:r>
      <w:r>
        <w:t xml:space="preserve">Garson decomposition computed on a model with no external validation ranks the</w:t>
      </w:r>
      <w:r>
        <w:t xml:space="preserve"> </w:t>
      </w:r>
      <w:r>
        <w:t xml:space="preserve">structure of the training data rather than the physics of the pavement. What</w:t>
      </w:r>
      <w:r>
        <w:t xml:space="preserve"> </w:t>
      </w:r>
      <w:r>
        <w:t xml:space="preserve">share of the corpus’s interpretability-method studies pair the explanation with</w:t>
      </w:r>
      <w:r>
        <w:t xml:space="preserve"> </w:t>
      </w:r>
      <w:r>
        <w:t xml:space="preserve">a validated model, by the external-validation criterion in §2.3?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dimension of hybridisation.</w:t>
      </w:r>
      <w:r>
        <w:t xml:space="preserve"> </w:t>
      </w:r>
      <w:r>
        <w:t xml:space="preserve">Most studies in this corpus</w:t>
      </w:r>
      <w:r>
        <w:t xml:space="preserve"> </w:t>
      </w:r>
      <w:r>
        <w:t xml:space="preserve">report only accuracy gains.</w:t>
      </w:r>
      <w:r>
        <w:t xml:space="preserve"> </w:t>
      </w:r>
      <w:r>
        <w:t xml:space="preserve">Elhariri et al. (2020)</w:t>
      </w:r>
      <w:r>
        <w:t xml:space="preserve"> </w:t>
      </w:r>
      <w:r>
        <w:t xml:space="preserve">is the seed corpus’s only</w:t>
      </w:r>
      <w:r>
        <w:t xml:space="preserve"> </w:t>
      </w:r>
      <w:r>
        <w:t xml:space="preserve">example reporting a feature-set reduction alongside an accuracy claim. A</w:t>
      </w:r>
      <w:r>
        <w:t xml:space="preserve"> </w:t>
      </w:r>
      <w:r>
        <w:t xml:space="preserve">systematic accounting of computational-cost reporting (PAVE-ML item 19) would</w:t>
      </w:r>
      <w:r>
        <w:t xml:space="preserve"> </w:t>
      </w:r>
      <w:r>
        <w:t xml:space="preserve">establish whether hybridisation’s practical case rests on accuracy, efficiency,</w:t>
      </w:r>
      <w:r>
        <w:t xml:space="preserve"> </w:t>
      </w:r>
      <w:r>
        <w:t xml:space="preserve">or an unexamined mixture of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evidence as an outcome variable.</w:t>
      </w:r>
      <w:r>
        <w:t xml:space="preserve"> </w:t>
      </w:r>
      <w:r>
        <w:t xml:space="preserve">§9’s deployment-evidence ladder</w:t>
      </w:r>
      <w:r>
        <w:t xml:space="preserve"> </w:t>
      </w:r>
      <w:r>
        <w:t xml:space="preserve">(none through field trial) is, on current evidence, heavily weighted toward its</w:t>
      </w:r>
      <w:r>
        <w:t xml:space="preserve"> </w:t>
      </w:r>
      <w:r>
        <w:t xml:space="preserve">lower rungs. Does deployment evidence correlate with any of the rigour-audit</w:t>
      </w:r>
      <w:r>
        <w:t xml:space="preserve"> </w:t>
      </w:r>
      <w:r>
        <w:t xml:space="preserve">fields — external validation, baseline strength — or are the two independent,</w:t>
      </w:r>
      <w:r>
        <w:t xml:space="preserve"> </w:t>
      </w:r>
      <w:r>
        <w:t xml:space="preserve">which would itself be a notable finding about how this field’s incentives</w:t>
      </w:r>
      <w:r>
        <w:t xml:space="preserve"> </w:t>
      </w:r>
      <w:r>
        <w:t xml:space="preserve">currently operate?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Replication of the premium construct outside pavement engineering.</w:t>
      </w:r>
      <w:r>
        <w:t xml:space="preserve"> </w:t>
      </w:r>
      <w:r>
        <w:t xml:space="preserve">The</w:t>
      </w:r>
      <w:r>
        <w:t xml:space="preserve"> </w:t>
      </w:r>
      <w:r>
        <w:t xml:space="preserve">tuned-baseline problem this review documents is unlikely to be unique to</w:t>
      </w:r>
      <w:r>
        <w:t xml:space="preserve"> </w:t>
      </w:r>
      <w:r>
        <w:t xml:space="preserve">pavement engineering. A parallel audit in an adjacent data-driven civil</w:t>
      </w:r>
      <w:r>
        <w:t xml:space="preserve"> </w:t>
      </w:r>
      <w:r>
        <w:t xml:space="preserve">engineering literature — concrete mix design, geotechnical site</w:t>
      </w:r>
      <w:r>
        <w:t xml:space="preserve"> </w:t>
      </w:r>
      <w:r>
        <w:t xml:space="preserve">characterisation — would establish whether the pattern is domain-specific or</w:t>
      </w:r>
      <w:r>
        <w:t xml:space="preserve"> </w:t>
      </w:r>
      <w:r>
        <w:t xml:space="preserve">a broader feature of how metaheuristic-learner hybrids are currently reported</w:t>
      </w:r>
      <w:r>
        <w:t xml:space="preserve"> </w:t>
      </w:r>
      <w:r>
        <w:t xml:space="preserve">across civil engineering.</w:t>
      </w:r>
    </w:p>
    <w:bookmarkEnd w:id="40"/>
    <w:bookmarkStart w:id="41" w:name="sec-conclusions"/>
    <w:p>
      <w:pPr>
        <w:pStyle w:val="Heading1"/>
      </w:pPr>
      <w:r>
        <w:t xml:space="preserve">14. Conclusions</w:t>
      </w:r>
    </w:p>
    <w:p>
      <w:pPr>
        <w:pStyle w:val="FirstParagraph"/>
      </w:pPr>
      <w:r>
        <w:t xml:space="preserve">Four conclusions follow from the evidence assembled so far.</w:t>
      </w:r>
    </w:p>
    <w:p>
      <w:pPr>
        <w:pStyle w:val="BodyText"/>
      </w:pPr>
      <w:r>
        <w:t xml:space="preserve">First, a literature search restricted to the vocabulary of</w:t>
      </w:r>
      <w:r>
        <w:t xml:space="preserve"> </w:t>
      </w:r>
      <w:r>
        <w:t xml:space="preserve">“hybrid”</w:t>
      </w:r>
      <w:r>
        <w:t xml:space="preserve"> </w:t>
      </w:r>
      <w:r>
        <w:t xml:space="preserve">models</w:t>
      </w:r>
      <w:r>
        <w:t xml:space="preserve"> </w:t>
      </w:r>
      <w:r>
        <w:t xml:space="preserve">undercounts this field’s actual hybridisation activity, because a meaningful share</w:t>
      </w:r>
      <w:r>
        <w:t xml:space="preserve"> </w:t>
      </w:r>
      <w:r>
        <w:t xml:space="preserve">of qualifying studies describe themselves through optimiser names, not through the</w:t>
      </w:r>
      <w:r>
        <w:t xml:space="preserve"> </w:t>
      </w:r>
      <w:r>
        <w:t xml:space="preserve">word hybrid itself. The algorithm-driven search protocol in §2 is offered as a</w:t>
      </w:r>
      <w:r>
        <w:t xml:space="preserve"> </w:t>
      </w:r>
      <w:r>
        <w:t xml:space="preserve">partial remedy, and the completed manuscript will report, from the finished</w:t>
      </w:r>
      <w:r>
        <w:t xml:space="preserve"> </w:t>
      </w:r>
      <w:r>
        <w:t xml:space="preserve">harvest, what fraction of the eligible literature a label-only search would have</w:t>
      </w:r>
      <w:r>
        <w:t xml:space="preserve"> </w:t>
      </w:r>
      <w:r>
        <w:t xml:space="preserve">missed.</w:t>
      </w:r>
    </w:p>
    <w:p>
      <w:pPr>
        <w:pStyle w:val="BodyText"/>
      </w:pPr>
      <w:r>
        <w:t xml:space="preserve">Second, the taxonomy in §4 shows that</w:t>
      </w:r>
      <w:r>
        <w:t xml:space="preserve"> </w:t>
      </w:r>
      <w:r>
        <w:t xml:space="preserve">“hybrid”</w:t>
      </w:r>
      <w:r>
        <w:t xml:space="preserve"> </w:t>
      </w:r>
      <w:r>
        <w:t xml:space="preserve">currently functions as a single</w:t>
      </w:r>
      <w:r>
        <w:t xml:space="preserve"> </w:t>
      </w:r>
      <w:r>
        <w:t xml:space="preserve">label over at least seven structurally and theoretically distinct couplings, each</w:t>
      </w:r>
      <w:r>
        <w:t xml:space="preserve"> </w:t>
      </w:r>
      <w:r>
        <w:t xml:space="preserve">with its own characteristic failure mode. Collapsing them, as the field’s current</w:t>
      </w:r>
      <w:r>
        <w:t xml:space="preserve"> </w:t>
      </w:r>
      <w:r>
        <w:t xml:space="preserve">vocabulary does, obscures exactly the distinctions — between a metaheuristic</w:t>
      </w:r>
      <w:r>
        <w:t xml:space="preserve"> </w:t>
      </w:r>
      <w:r>
        <w:t xml:space="preserve">searching hyperparameters and one searching weights, between architecture fusion</w:t>
      </w:r>
      <w:r>
        <w:t xml:space="preserve"> </w:t>
      </w:r>
      <w:r>
        <w:t xml:space="preserve">and heterogeneous stacking — that determine whether a given failure mode is even</w:t>
      </w:r>
      <w:r>
        <w:t xml:space="preserve"> </w:t>
      </w:r>
      <w:r>
        <w:t xml:space="preserve">in principle detectable from what a paper reports.</w:t>
      </w:r>
    </w:p>
    <w:p>
      <w:pPr>
        <w:pStyle w:val="BodyText"/>
      </w:pPr>
      <w:r>
        <w:t xml:space="preserve">Third, and most consequentially, the comparison required to state a hybridisation</w:t>
      </w:r>
      <w:r>
        <w:t xml:space="preserve"> </w:t>
      </w:r>
      <w:r>
        <w:t xml:space="preserve">premium — the same base learner, tuned conventionally, on the same data, under a</w:t>
      </w:r>
      <w:r>
        <w:t xml:space="preserve"> </w:t>
      </w:r>
      <w:r>
        <w:t xml:space="preserve">comparable budget — is rarely made available by the studies that would need to</w:t>
      </w:r>
      <w:r>
        <w:t xml:space="preserve"> </w:t>
      </w:r>
      <w:r>
        <w:t xml:space="preserve">report it. Of the studies examined closely enough in the seed corpus to test this</w:t>
      </w:r>
      <w:r>
        <w:t xml:space="preserve"> </w:t>
      </w:r>
      <w:r>
        <w:t xml:space="preserve">directly, the missing baseline, not an unfavourable premium, is the dominant</w:t>
      </w:r>
      <w:r>
        <w:t xml:space="preserve"> </w:t>
      </w:r>
      <w:r>
        <w:t xml:space="preserve">pattern (§9). Where the comparison approaches fairness, as in</w:t>
      </w:r>
      <w:r>
        <w:t xml:space="preserve"> </w:t>
      </w:r>
      <w:r>
        <w:t xml:space="preserve">Zeiada et al.</w:t>
      </w:r>
      <w:r>
        <w:t xml:space="preserve"> </w:t>
      </w:r>
      <w:r>
        <w:t xml:space="preserve">(2025)</w:t>
      </w:r>
      <w:r>
        <w:t xml:space="preserve">, the hybrid or deep-architecture advantage narrows or</w:t>
      </w:r>
      <w:r>
        <w:t xml:space="preserve"> </w:t>
      </w:r>
      <w:r>
        <w:t xml:space="preserve">disappears against a properly tuned conventional alternative.</w:t>
      </w:r>
    </w:p>
    <w:p>
      <w:pPr>
        <w:pStyle w:val="BodyText"/>
      </w:pPr>
      <w:r>
        <w:t xml:space="preserve">Fourth, the field has the practical means to fix this at essentially no added</w:t>
      </w:r>
      <w:r>
        <w:t xml:space="preserve"> </w:t>
      </w:r>
      <w:r>
        <w:t xml:space="preserve">cost. None of the four hybrid-specific PAVE-ML items (§10) requires new data</w:t>
      </w:r>
      <w:r>
        <w:t xml:space="preserve"> </w:t>
      </w:r>
      <w:r>
        <w:t xml:space="preserve">collection or a new experiment — reporting the base learner’s own tuned</w:t>
      </w:r>
      <w:r>
        <w:t xml:space="preserve"> </w:t>
      </w:r>
      <w:r>
        <w:t xml:space="preserve">performance, the search budget for each arm, the spread across repeated stochastic</w:t>
      </w:r>
      <w:r>
        <w:t xml:space="preserve"> </w:t>
      </w:r>
      <w:r>
        <w:t xml:space="preserve">runs, and a comparison against established optimisers are all computable from runs</w:t>
      </w:r>
      <w:r>
        <w:t xml:space="preserve"> </w:t>
      </w:r>
      <w:r>
        <w:t xml:space="preserve">a study has, in most cases, already performed. The gap this review documents is</w:t>
      </w:r>
      <w:r>
        <w:t xml:space="preserve"> </w:t>
      </w:r>
      <w:r>
        <w:t xml:space="preserve">therefore substantially a reporting gap rather than a capability gap, which is the</w:t>
      </w:r>
      <w:r>
        <w:t xml:space="preserve"> </w:t>
      </w:r>
      <w:r>
        <w:t xml:space="preserve">most optimistic reading available of an otherwise uncomfortable set of findings —</w:t>
      </w:r>
      <w:r>
        <w:t xml:space="preserve"> </w:t>
      </w:r>
      <w:r>
        <w:t xml:space="preserve">and the reading the completed audit is designed to test.</w:t>
      </w:r>
    </w:p>
    <w:bookmarkEnd w:id="41"/>
    <w:bookmarkStart w:id="42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no competing financial interests or personal relationships that</w:t>
      </w:r>
      <w:r>
        <w:t xml:space="preserve"> </w:t>
      </w:r>
      <w:r>
        <w:t xml:space="preserve">could have influenced the work reported in this paper.</w:t>
      </w:r>
    </w:p>
    <w:bookmarkEnd w:id="42"/>
    <w:bookmarkStart w:id="43" w:name="Xa6ff8e54395812bd8a1d49fa16c25a1d6a46bbb"/>
    <w:p>
      <w:pPr>
        <w:pStyle w:val="Heading1"/>
      </w:pPr>
      <w:r>
        <w:t xml:space="preserve">Declaration of generative AI in the writing process</w:t>
      </w:r>
    </w:p>
    <w:p>
      <w:pPr>
        <w:pStyle w:val="FirstParagraph"/>
      </w:pPr>
      <w:r>
        <w:t xml:space="preserve">PLACEHOLDER — to be completed per the target journal’s wording before submission.</w:t>
      </w:r>
      <w:r>
        <w:t xml:space="preserve"> </w:t>
      </w:r>
      <w:r>
        <w:t xml:space="preserve">Elsevier requires a statement naming the tool, the purpose of use, and confirmation</w:t>
      </w:r>
      <w:r>
        <w:t xml:space="preserve"> </w:t>
      </w:r>
      <w:r>
        <w:t xml:space="preserve">that the authors reviewed and take full responsibility for the content. Disclosed</w:t>
      </w:r>
      <w:r>
        <w:t xml:space="preserve"> </w:t>
      </w:r>
      <w:r>
        <w:t xml:space="preserve">use is permitted; undisclosed use is not.</w:t>
      </w:r>
    </w:p>
    <w:bookmarkEnd w:id="43"/>
    <w:bookmarkStart w:id="4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screening database, coding rubric, harvesting scripts and the full analysis</w:t>
      </w:r>
      <w:r>
        <w:t xml:space="preserve"> </w:t>
      </w:r>
      <w:r>
        <w:t xml:space="preserve">pipeline that produced every figure and table in this paper are available at</w:t>
      </w:r>
      <w:r>
        <w:t xml:space="preserve"> </w:t>
      </w:r>
      <w:r>
        <w:t xml:space="preserve">[REPOSITORY URL].</w:t>
      </w:r>
    </w:p>
    <w:bookmarkEnd w:id="44"/>
    <w:bookmarkStart w:id="106" w:name="references"/>
    <w:p>
      <w:pPr>
        <w:pStyle w:val="Heading1"/>
      </w:pPr>
      <w:r>
        <w:t xml:space="preserve">References</w:t>
      </w:r>
    </w:p>
    <w:bookmarkStart w:id="105" w:name="refs"/>
    <w:bookmarkStart w:id="46" w:name="ref-Alhussan2022pothole"/>
    <w:p>
      <w:pPr>
        <w:pStyle w:val="Bibliography"/>
      </w:pPr>
      <w:r>
        <w:t xml:space="preserve">Alhussan, A.A., Khafaga, D.S., El-kenawy, E.-S.M., 2022. Pothole and plain road classification using adaptive mutation dipper throated optimization and transfer learning for self driving cars. IEEE Access.</w:t>
      </w:r>
      <w:r>
        <w:t xml:space="preserve"> </w:t>
      </w:r>
      <w:hyperlink r:id="rId45">
        <w:r>
          <w:rPr>
            <w:rStyle w:val="Hyperlink"/>
          </w:rPr>
          <w:t xml:space="preserve">https://doi.org/10.1109/access.2022.3196660</w:t>
        </w:r>
      </w:hyperlink>
    </w:p>
    <w:bookmarkEnd w:id="46"/>
    <w:bookmarkStart w:id="48" w:name="ref-Alnaqbi2025learning"/>
    <w:p>
      <w:pPr>
        <w:pStyle w:val="Bibliography"/>
      </w:pPr>
      <w:r>
        <w:t xml:space="preserve">Alnaqbi, A., Zeiada, W., Al-Khateeb, G.G., 2025. A hybrid machine learning method of support vector regression with particle swarm optimization for predicting IRI in continuously reinforced concrete pavement. J. Eng. Appl. Sci.</w:t>
      </w:r>
      <w:r>
        <w:t xml:space="preserve"> </w:t>
      </w:r>
      <w:hyperlink r:id="rId47">
        <w:r>
          <w:rPr>
            <w:rStyle w:val="Hyperlink"/>
          </w:rPr>
          <w:t xml:space="preserve">https://doi.org/10.1186/s44147-025-00706-9</w:t>
        </w:r>
      </w:hyperlink>
    </w:p>
    <w:bookmarkEnd w:id="48"/>
    <w:bookmarkStart w:id="50" w:name="ref-Alshawabkeh2023automated"/>
    <w:p>
      <w:pPr>
        <w:pStyle w:val="Bibliography"/>
      </w:pPr>
      <w:r>
        <w:t xml:space="preserve">Alshawabkeh, S., Wu, L., Dong, D., others</w:t>
      </w:r>
      <w:r>
        <w:t xml:space="preserve">, 2023. Automated pavement crack detection using deep feature selection and whale optimization algorithm. Computers, Materials &amp; Continua.</w:t>
      </w:r>
      <w:r>
        <w:t xml:space="preserve"> </w:t>
      </w:r>
      <w:hyperlink r:id="rId49">
        <w:r>
          <w:rPr>
            <w:rStyle w:val="Hyperlink"/>
          </w:rPr>
          <w:t xml:space="preserve">https://doi.org/10.32604/cmc.2023.042183</w:t>
        </w:r>
      </w:hyperlink>
    </w:p>
    <w:bookmarkEnd w:id="50"/>
    <w:bookmarkStart w:id="52" w:name="ref-Azam2022resilient"/>
    <w:p>
      <w:pPr>
        <w:pStyle w:val="Bibliography"/>
      </w:pPr>
      <w:r>
        <w:t xml:space="preserve">Azam, A., Bardhan, A., Kaloop, M.R., others</w:t>
      </w:r>
      <w:r>
        <w:t xml:space="preserve">, 2022. Modeling resilient modulus of subgrade soils using LSSVM optimized with swarm intelligence algorithms. Scientific Reports.</w:t>
      </w:r>
      <w:r>
        <w:t xml:space="preserve"> </w:t>
      </w:r>
      <w:hyperlink r:id="rId51">
        <w:r>
          <w:rPr>
            <w:rStyle w:val="Hyperlink"/>
          </w:rPr>
          <w:t xml:space="preserve">https://doi.org/10.1038/s41598-022-17429-z</w:t>
        </w:r>
      </w:hyperlink>
    </w:p>
    <w:bookmarkEnd w:id="52"/>
    <w:bookmarkStart w:id="54" w:name="ref-Cao2020pavement"/>
    <w:p>
      <w:pPr>
        <w:pStyle w:val="Bibliography"/>
      </w:pPr>
      <w:r>
        <w:t xml:space="preserve">Cao, W., Liu, Q., He, Z., 2020. Review of pavement defect detection methods. IEEE Access.</w:t>
      </w:r>
      <w:r>
        <w:t xml:space="preserve"> </w:t>
      </w:r>
      <w:hyperlink r:id="rId53">
        <w:r>
          <w:rPr>
            <w:rStyle w:val="Hyperlink"/>
          </w:rPr>
          <w:t xml:space="preserve">https://doi.org/10.1109/access.2020.2966881</w:t>
        </w:r>
      </w:hyperlink>
    </w:p>
    <w:bookmarkEnd w:id="54"/>
    <w:bookmarkStart w:id="56" w:name="ref-Deng2023rutting"/>
    <w:p>
      <w:pPr>
        <w:pStyle w:val="Bibliography"/>
      </w:pPr>
      <w:r>
        <w:t xml:space="preserve">Deng, Y., Shi, X., 2023. Modeling the rutting performance of asphalt pavements: A review. J. Infrastruct. Preserv. Resil.</w:t>
      </w:r>
      <w:r>
        <w:t xml:space="preserve"> </w:t>
      </w:r>
      <w:hyperlink r:id="rId55">
        <w:r>
          <w:rPr>
            <w:rStyle w:val="Hyperlink"/>
          </w:rPr>
          <w:t xml:space="preserve">https://doi.org/10.1186/s43065-023-00082-9</w:t>
        </w:r>
      </w:hyperlink>
    </w:p>
    <w:bookmarkEnd w:id="56"/>
    <w:bookmarkStart w:id="58" w:name="ref-Elbagalati2017neural"/>
    <w:p>
      <w:pPr>
        <w:pStyle w:val="Bibliography"/>
      </w:pPr>
      <w:r>
        <w:t xml:space="preserve">Elbagalati, O., Elseifi, M.A., Gaspard, K., others</w:t>
      </w:r>
      <w:r>
        <w:t xml:space="preserve">, 2017. Development of an artificial neural network model to predict subgrade resilient modulus from continuous deflection testing. Can. J. Civ. Eng.</w:t>
      </w:r>
      <w:r>
        <w:t xml:space="preserve"> </w:t>
      </w:r>
      <w:hyperlink r:id="rId57">
        <w:r>
          <w:rPr>
            <w:rStyle w:val="Hyperlink"/>
          </w:rPr>
          <w:t xml:space="preserve">https://doi.org/10.1139/cjce-2017-0132</w:t>
        </w:r>
      </w:hyperlink>
    </w:p>
    <w:bookmarkEnd w:id="58"/>
    <w:bookmarkStart w:id="60" w:name="ref-Elhariri2020filter"/>
    <w:p>
      <w:pPr>
        <w:pStyle w:val="Bibliography"/>
      </w:pPr>
      <w:r>
        <w:t xml:space="preserve">Elhariri, E., El-Bendary, N., Taie, S.A., 2020. Using hybrid filter-wrapper feature selection with multi-objective improved-salp optimization for crack severity recognition. IEEE Access.</w:t>
      </w:r>
      <w:r>
        <w:t xml:space="preserve"> </w:t>
      </w:r>
      <w:hyperlink r:id="rId59">
        <w:r>
          <w:rPr>
            <w:rStyle w:val="Hyperlink"/>
          </w:rPr>
          <w:t xml:space="preserve">https://doi.org/10.1109/access.2020.2991968</w:t>
        </w:r>
      </w:hyperlink>
    </w:p>
    <w:bookmarkEnd w:id="60"/>
    <w:bookmarkStart w:id="62" w:name="ref-Georgouli2026impact"/>
    <w:p>
      <w:pPr>
        <w:pStyle w:val="Bibliography"/>
      </w:pPr>
      <w:r>
        <w:t xml:space="preserve">Georgouli, K., Plati, C., Loizos, A., 2026. Impact of dynamic modulus prediction errors on rutting estimates in sustainable flexible pavements. Infrastructures.</w:t>
      </w:r>
      <w:r>
        <w:t xml:space="preserve"> </w:t>
      </w:r>
      <w:hyperlink r:id="rId61">
        <w:r>
          <w:rPr>
            <w:rStyle w:val="Hyperlink"/>
          </w:rPr>
          <w:t xml:space="preserve">https://doi.org/10.3390/infrastructures11040127</w:t>
        </w:r>
      </w:hyperlink>
    </w:p>
    <w:bookmarkEnd w:id="62"/>
    <w:bookmarkStart w:id="64" w:name="ref-Ghanizadeh2020neural"/>
    <w:p>
      <w:pPr>
        <w:pStyle w:val="Bibliography"/>
      </w:pPr>
      <w:r>
        <w:t xml:space="preserve">Ghanizadeh, A.R., Heidarabadizadeh, N., Jalali, F., 2020. Artificial neural network back-calculation of flexible pavements with sensitivity analysis using garson’s and connection weights algorithms. Innov. Infrastruct. Solut.</w:t>
      </w:r>
      <w:r>
        <w:t xml:space="preserve"> </w:t>
      </w:r>
      <w:hyperlink r:id="rId63">
        <w:r>
          <w:rPr>
            <w:rStyle w:val="Hyperlink"/>
          </w:rPr>
          <w:t xml:space="preserve">https://doi.org/10.1007/s41062-020-00312-z</w:t>
        </w:r>
      </w:hyperlink>
    </w:p>
    <w:bookmarkEnd w:id="64"/>
    <w:bookmarkStart w:id="66" w:name="ref-Ghanizadeh2025metabackcal"/>
    <w:p>
      <w:pPr>
        <w:pStyle w:val="Bibliography"/>
      </w:pPr>
      <w:r>
        <w:t xml:space="preserve">Ghanizadeh, A.R., Heidarabadizadeh, N., Jalali, F., Tavana Amlashi, A., Papagiannakis, A.T., 2025. METABACKCAL: Implementing metaheuristic-driven back-calculation for flexible pavement moduli estimation. Construction and Building Materials.</w:t>
      </w:r>
      <w:r>
        <w:t xml:space="preserve"> </w:t>
      </w:r>
      <w:hyperlink r:id="rId65">
        <w:r>
          <w:rPr>
            <w:rStyle w:val="Hyperlink"/>
          </w:rPr>
          <w:t xml:space="preserve">https://doi.org/10.1016/j.conbuildmat.2025.143050</w:t>
        </w:r>
      </w:hyperlink>
    </w:p>
    <w:bookmarkEnd w:id="66"/>
    <w:bookmarkStart w:id="68" w:name="ref-Ghanizadeh2024formulation"/>
    <w:p>
      <w:pPr>
        <w:pStyle w:val="Bibliography"/>
      </w:pPr>
      <w:r>
        <w:t xml:space="preserve">Ghanizadeh, A.R., Tavana Amlashi, A., Bahrami, A., others</w:t>
      </w:r>
      <w:r>
        <w:t xml:space="preserve">, 2024. A formulation for asphalt concrete air void during service life by adopting a hybrid evolutionary polynomial regression and multi-gene genetic programming. Scientific Reports.</w:t>
      </w:r>
      <w:r>
        <w:t xml:space="preserve"> </w:t>
      </w:r>
      <w:hyperlink r:id="rId67">
        <w:r>
          <w:rPr>
            <w:rStyle w:val="Hyperlink"/>
          </w:rPr>
          <w:t xml:space="preserve">https://doi.org/10.1038/s41598-024-61313-x</w:t>
        </w:r>
      </w:hyperlink>
    </w:p>
    <w:bookmarkEnd w:id="68"/>
    <w:bookmarkStart w:id="70" w:name="ref-Ghorbani2020genetic"/>
    <w:p>
      <w:pPr>
        <w:pStyle w:val="Bibliography"/>
      </w:pPr>
      <w:r>
        <w:t xml:space="preserve">Ghorbani, B., Arulrajah, A., Narsilio, G.A., others</w:t>
      </w:r>
      <w:r>
        <w:t xml:space="preserve">, 2020. Development of genetic-based models for predicting the resilient modulus of cohesive pavement subgrade soils. Soils and Foundations.</w:t>
      </w:r>
      <w:r>
        <w:t xml:space="preserve"> </w:t>
      </w:r>
      <w:hyperlink r:id="rId69">
        <w:r>
          <w:rPr>
            <w:rStyle w:val="Hyperlink"/>
          </w:rPr>
          <w:t xml:space="preserve">https://doi.org/10.1016/j.sandf.2020.02.010</w:t>
        </w:r>
      </w:hyperlink>
    </w:p>
    <w:bookmarkEnd w:id="70"/>
    <w:bookmarkStart w:id="72" w:name="ref-Gopalakrishnan2018learning"/>
    <w:p>
      <w:pPr>
        <w:pStyle w:val="Bibliography"/>
      </w:pPr>
      <w:r>
        <w:t xml:space="preserve">Gopalakrishnan, K., 2018. Deep learning in data-driven pavement image analysis and automated distress detection: A review. Data.</w:t>
      </w:r>
      <w:r>
        <w:t xml:space="preserve"> </w:t>
      </w:r>
      <w:hyperlink r:id="rId71">
        <w:r>
          <w:rPr>
            <w:rStyle w:val="Hyperlink"/>
          </w:rPr>
          <w:t xml:space="preserve">https://doi.org/10.3390/data3030028</w:t>
        </w:r>
      </w:hyperlink>
    </w:p>
    <w:bookmarkEnd w:id="72"/>
    <w:bookmarkStart w:id="74" w:name="ref-Guo2025learning"/>
    <w:p>
      <w:pPr>
        <w:pStyle w:val="Bibliography"/>
      </w:pPr>
      <w:r>
        <w:t xml:space="preserve">Guo, M., Zhou, M., Du, X., others</w:t>
      </w:r>
      <w:r>
        <w:t xml:space="preserve">, 2025. Machine learning-based analysis of interaction effects among influencing factors on the resilient modulus of stabilized aggregate base. Comput.-Aided Civ. Infrastruct. Eng.</w:t>
      </w:r>
      <w:r>
        <w:t xml:space="preserve"> </w:t>
      </w:r>
      <w:hyperlink r:id="rId73">
        <w:r>
          <w:rPr>
            <w:rStyle w:val="Hyperlink"/>
          </w:rPr>
          <w:t xml:space="preserve">https://doi.org/10.1111/mice.70102</w:t>
        </w:r>
      </w:hyperlink>
    </w:p>
    <w:bookmarkEnd w:id="74"/>
    <w:bookmarkStart w:id="76" w:name="ref-Hanandeh2022introducing"/>
    <w:p>
      <w:pPr>
        <w:pStyle w:val="Bibliography"/>
      </w:pPr>
      <w:r>
        <w:t xml:space="preserve">Hanandeh, S., 2022. Introducing mathematical modeling to estimate pavement quality index of flexible pavements based on genetic algorithm and artificial neural networks. Case Stud. Constr. Mater.</w:t>
      </w:r>
      <w:r>
        <w:t xml:space="preserve"> </w:t>
      </w:r>
      <w:hyperlink r:id="rId75">
        <w:r>
          <w:rPr>
            <w:rStyle w:val="Hyperlink"/>
          </w:rPr>
          <w:t xml:space="preserve">https://doi.org/10.1016/j.cscm.2022.e00991</w:t>
        </w:r>
      </w:hyperlink>
    </w:p>
    <w:bookmarkEnd w:id="76"/>
    <w:bookmarkStart w:id="78" w:name="ref-Hosseini2021accuracy"/>
    <w:p>
      <w:pPr>
        <w:pStyle w:val="Bibliography"/>
      </w:pPr>
      <w:r>
        <w:t xml:space="preserve">Hosseini, S.A., Smadi, O., 2021. How prediction accuracy can affect the decision-making process in pavement management system. Infrastructures.</w:t>
      </w:r>
      <w:r>
        <w:t xml:space="preserve"> </w:t>
      </w:r>
      <w:hyperlink r:id="rId77">
        <w:r>
          <w:rPr>
            <w:rStyle w:val="Hyperlink"/>
          </w:rPr>
          <w:t xml:space="preserve">https://doi.org/10.3390/infrastructures6020028</w:t>
        </w:r>
      </w:hyperlink>
    </w:p>
    <w:bookmarkEnd w:id="78"/>
    <w:bookmarkStart w:id="80" w:name="ref-Hou2020state"/>
    <w:p>
      <w:pPr>
        <w:pStyle w:val="Bibliography"/>
      </w:pPr>
      <w:r>
        <w:t xml:space="preserve">Hou, Y., Li, Q., Zhang, C., others</w:t>
      </w:r>
      <w:r>
        <w:t xml:space="preserve">, 2020. The state-of-the-art review on applications of intrusive sensing, image processing techniques, and machine learning methods in pavement monitoring and analysis. Engineering.</w:t>
      </w:r>
      <w:r>
        <w:t xml:space="preserve"> </w:t>
      </w:r>
      <w:hyperlink r:id="rId79">
        <w:r>
          <w:rPr>
            <w:rStyle w:val="Hyperlink"/>
          </w:rPr>
          <w:t xml:space="preserve">https://doi.org/10.1016/j.eng.2020.07.030</w:t>
        </w:r>
      </w:hyperlink>
    </w:p>
    <w:bookmarkEnd w:id="80"/>
    <w:bookmarkStart w:id="82" w:name="ref-Huang2025rheological"/>
    <w:p>
      <w:pPr>
        <w:pStyle w:val="Bibliography"/>
      </w:pPr>
      <w:r>
        <w:t xml:space="preserve">Huang, H., Xu, Z., Li, X., others</w:t>
      </w:r>
      <w:r>
        <w:t xml:space="preserve">, 2025. Predicting rheological properties of asphalt modified with mineral powder: Bagging, boosting, and stacking vs. Single machine learning models. Materials.</w:t>
      </w:r>
      <w:r>
        <w:t xml:space="preserve"> </w:t>
      </w:r>
      <w:hyperlink r:id="rId81">
        <w:r>
          <w:rPr>
            <w:rStyle w:val="Hyperlink"/>
          </w:rPr>
          <w:t xml:space="preserve">https://doi.org/10.3390/ma18122913</w:t>
        </w:r>
      </w:hyperlink>
    </w:p>
    <w:bookmarkEnd w:id="82"/>
    <w:bookmarkStart w:id="84" w:name="ref-Jweihan2026trustworthy"/>
    <w:p>
      <w:pPr>
        <w:pStyle w:val="Bibliography"/>
      </w:pPr>
      <w:r>
        <w:t xml:space="preserve">Jweihan, Y.S., 2026. Trustworthy explainable AI for asphalt pavement engineering: A systematic scoping review of materials, performance, and decision support. Applied System Innovation.</w:t>
      </w:r>
      <w:r>
        <w:t xml:space="preserve"> </w:t>
      </w:r>
      <w:hyperlink r:id="rId83">
        <w:r>
          <w:rPr>
            <w:rStyle w:val="Hyperlink"/>
          </w:rPr>
          <w:t xml:space="preserve">https://doi.org/10.3390/asi9070133</w:t>
        </w:r>
      </w:hyperlink>
    </w:p>
    <w:bookmarkEnd w:id="84"/>
    <w:bookmarkStart w:id="86" w:name="ref-Kaloop2019particle"/>
    <w:p>
      <w:pPr>
        <w:pStyle w:val="Bibliography"/>
      </w:pPr>
      <w:r>
        <w:t xml:space="preserve">Kaloop, M.R., Kumar, D., Samui, P., others</w:t>
      </w:r>
      <w:r>
        <w:t xml:space="preserve">, 2019. Particle swarm optimization algorithm-extreme learning machine (PSO-ELM) model for predicting resilient modulus of stabilized aggregate bases. Applied Sciences.</w:t>
      </w:r>
      <w:r>
        <w:t xml:space="preserve"> </w:t>
      </w:r>
      <w:hyperlink r:id="rId85">
        <w:r>
          <w:rPr>
            <w:rStyle w:val="Hyperlink"/>
          </w:rPr>
          <w:t xml:space="preserve">https://doi.org/10.3390/app9163221</w:t>
        </w:r>
      </w:hyperlink>
    </w:p>
    <w:bookmarkEnd w:id="86"/>
    <w:bookmarkStart w:id="88" w:name="ref-Latifi2021reinforcement"/>
    <w:p>
      <w:pPr>
        <w:pStyle w:val="Bibliography"/>
      </w:pPr>
      <w:r>
        <w:t xml:space="preserve">Latifi, M., Golivand Darvishvand, F., Khandel, O., others</w:t>
      </w:r>
      <w:r>
        <w:t xml:space="preserve">, 2021. A deep reinforcement learning model for predictive maintenance planning of road assets: Integrating LCA and LCCA. arXiv preprint.</w:t>
      </w:r>
      <w:r>
        <w:t xml:space="preserve"> </w:t>
      </w:r>
      <w:hyperlink r:id="rId87">
        <w:r>
          <w:rPr>
            <w:rStyle w:val="Hyperlink"/>
          </w:rPr>
          <w:t xml:space="preserve">https://doi.org/10.48550/arxiv.2112.12589</w:t>
        </w:r>
      </w:hyperlink>
    </w:p>
    <w:bookmarkEnd w:id="88"/>
    <w:bookmarkStart w:id="90" w:name="ref-MharziAlaoui2026algorithm"/>
    <w:p>
      <w:pPr>
        <w:pStyle w:val="Bibliography"/>
      </w:pPr>
      <w:r>
        <w:t xml:space="preserve">M’harzi Alaoui, F.e., Taki, Y., Aalil, I., others</w:t>
      </w:r>
      <w:r>
        <w:t xml:space="preserve">, 2026. From lab to algorithm: A review of AI-driven predictive modeling in soil stabilization for road construction. J. Umm Al-Qura Univ. Eng. Archit.</w:t>
      </w:r>
      <w:r>
        <w:t xml:space="preserve"> </w:t>
      </w:r>
      <w:hyperlink r:id="rId89">
        <w:r>
          <w:rPr>
            <w:rStyle w:val="Hyperlink"/>
          </w:rPr>
          <w:t xml:space="preserve">https://doi.org/10.1007/s43995-026-00294-6</w:t>
        </w:r>
      </w:hyperlink>
    </w:p>
    <w:bookmarkEnd w:id="90"/>
    <w:bookmarkStart w:id="92" w:name="ref-Pasupunuri2024roughness"/>
    <w:p>
      <w:pPr>
        <w:pStyle w:val="Bibliography"/>
      </w:pPr>
      <w:r>
        <w:t xml:space="preserve">Pasupunuri, S.K., Thom, N., Li, L., 2024. Roughness prediction of jointed plain concrete pavement using physics informed neural networks. Transportation Research Record.</w:t>
      </w:r>
      <w:r>
        <w:t xml:space="preserve"> </w:t>
      </w:r>
      <w:hyperlink r:id="rId91">
        <w:r>
          <w:rPr>
            <w:rStyle w:val="Hyperlink"/>
          </w:rPr>
          <w:t xml:space="preserve">https://doi.org/10.1177/03611981241245991</w:t>
        </w:r>
      </w:hyperlink>
    </w:p>
    <w:bookmarkEnd w:id="92"/>
    <w:bookmarkStart w:id="94" w:name="ref-Sun2023automatic"/>
    <w:p>
      <w:pPr>
        <w:pStyle w:val="Bibliography"/>
      </w:pPr>
      <w:r>
        <w:t xml:space="preserve">Sun, Z., Zhai, J., Pei, L., others</w:t>
      </w:r>
      <w:r>
        <w:t xml:space="preserve">, 2023. Automatic pavement crack detection transformer based on convolutional and sequential feature fusion. Sensors.</w:t>
      </w:r>
      <w:r>
        <w:t xml:space="preserve"> </w:t>
      </w:r>
      <w:hyperlink r:id="rId93">
        <w:r>
          <w:rPr>
            <w:rStyle w:val="Hyperlink"/>
          </w:rPr>
          <w:t xml:space="preserve">https://doi.org/10.3390/s23073772</w:t>
        </w:r>
      </w:hyperlink>
    </w:p>
    <w:bookmarkEnd w:id="94"/>
    <w:bookmarkStart w:id="96" w:name="ref-Wei2023optimizing"/>
    <w:p>
      <w:pPr>
        <w:pStyle w:val="Bibliography"/>
      </w:pPr>
      <w:r>
        <w:t xml:space="preserve">Wei, X., Wang, C., Liu, J., others</w:t>
      </w:r>
      <w:r>
        <w:t xml:space="preserve">, 2023. Optimizing faulting prediction for rigid pavements using a hybrid SHAP-TPE-CatBoost model. Applied Sciences.</w:t>
      </w:r>
      <w:r>
        <w:t xml:space="preserve"> </w:t>
      </w:r>
      <w:hyperlink r:id="rId95">
        <w:r>
          <w:rPr>
            <w:rStyle w:val="Hyperlink"/>
          </w:rPr>
          <w:t xml:space="preserve">https://doi.org/10.3390/app132312862</w:t>
        </w:r>
      </w:hyperlink>
    </w:p>
    <w:bookmarkEnd w:id="96"/>
    <w:bookmarkStart w:id="98" w:name="ref-Yang2021research"/>
    <w:p>
      <w:pPr>
        <w:pStyle w:val="Bibliography"/>
      </w:pPr>
      <w:r>
        <w:t xml:space="preserve">Yang, X., Guan, J., Ding, L., others</w:t>
      </w:r>
      <w:r>
        <w:t xml:space="preserve">, 2021. Research and applications of artificial neural network in pavement engineering: A state-of-the-art review. J. Traffic Transp. Eng. (Engl. Ed.).</w:t>
      </w:r>
      <w:r>
        <w:t xml:space="preserve"> </w:t>
      </w:r>
      <w:hyperlink r:id="rId97">
        <w:r>
          <w:rPr>
            <w:rStyle w:val="Hyperlink"/>
          </w:rPr>
          <w:t xml:space="preserve">https://doi.org/10.1016/j.jtte.2021.03.005</w:t>
        </w:r>
      </w:hyperlink>
    </w:p>
    <w:bookmarkEnd w:id="98"/>
    <w:bookmarkStart w:id="100" w:name="ref-Yao2022large"/>
    <w:p>
      <w:pPr>
        <w:pStyle w:val="Bibliography"/>
      </w:pPr>
      <w:r>
        <w:t xml:space="preserve">Yao, L., Leng, Z., Jiang, J., others</w:t>
      </w:r>
      <w:r>
        <w:t xml:space="preserve">, 2022. Large-scale maintenance and rehabilitation optimization for multi-lane highway asphalt pavement: A reinforcement learning approach. IEEE Trans. Intell. Transp. Syst.</w:t>
      </w:r>
      <w:r>
        <w:t xml:space="preserve"> </w:t>
      </w:r>
      <w:hyperlink r:id="rId99">
        <w:r>
          <w:rPr>
            <w:rStyle w:val="Hyperlink"/>
          </w:rPr>
          <w:t xml:space="preserve">https://doi.org/10.1109/tits.2022.3161689</w:t>
        </w:r>
      </w:hyperlink>
    </w:p>
    <w:bookmarkEnd w:id="100"/>
    <w:bookmarkStart w:id="102" w:name="ref-Yu2020highway"/>
    <w:p>
      <w:pPr>
        <w:pStyle w:val="Bibliography"/>
      </w:pPr>
      <w:r>
        <w:t xml:space="preserve">Yu, G., Zhang, S., Hu, M., others</w:t>
      </w:r>
      <w:r>
        <w:t xml:space="preserve">, 2020. Prediction of highway tunnel pavement performance based on digital twin and multiple time series stacking. Adv. Civ. Eng.</w:t>
      </w:r>
      <w:r>
        <w:t xml:space="preserve"> </w:t>
      </w:r>
      <w:hyperlink r:id="rId101">
        <w:r>
          <w:rPr>
            <w:rStyle w:val="Hyperlink"/>
          </w:rPr>
          <w:t xml:space="preserve">https://doi.org/10.1155/2020/8824135</w:t>
        </w:r>
      </w:hyperlink>
    </w:p>
    <w:bookmarkEnd w:id="102"/>
    <w:bookmarkStart w:id="104" w:name="ref-Zeiada2025benchmarking"/>
    <w:p>
      <w:pPr>
        <w:pStyle w:val="Bibliography"/>
      </w:pPr>
      <w:r>
        <w:t xml:space="preserve">Zeiada, W., Obaid, L., El-Badawy, S.M., others</w:t>
      </w:r>
      <w:r>
        <w:t xml:space="preserve">, 2025. Benchmarking classical and deep machine learning models for predicting hot mix asphalt dynamic modulus. Civil Engineering Journal.</w:t>
      </w:r>
      <w:r>
        <w:t xml:space="preserve"> </w:t>
      </w:r>
      <w:hyperlink r:id="rId103">
        <w:r>
          <w:rPr>
            <w:rStyle w:val="Hyperlink"/>
          </w:rPr>
          <w:t xml:space="preserve">https://doi.org/10.28991/cej-2025-011-01-06</w:t>
        </w:r>
      </w:hyperlink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hyperlink" Id="rId63" Target="https://doi.org/10.1007/s41062-020-00312-z" TargetMode="External" /><Relationship Type="http://schemas.openxmlformats.org/officeDocument/2006/relationships/hyperlink" Id="rId89" Target="https://doi.org/10.1007/s43995-026-00294-6" TargetMode="External" /><Relationship Type="http://schemas.openxmlformats.org/officeDocument/2006/relationships/hyperlink" Id="rId65" Target="https://doi.org/10.1016/j.conbuildmat.2025.143050" TargetMode="External" /><Relationship Type="http://schemas.openxmlformats.org/officeDocument/2006/relationships/hyperlink" Id="rId75" Target="https://doi.org/10.1016/j.cscm.2022.e00991" TargetMode="External" /><Relationship Type="http://schemas.openxmlformats.org/officeDocument/2006/relationships/hyperlink" Id="rId79" Target="https://doi.org/10.1016/j.eng.2020.07.030" TargetMode="External" /><Relationship Type="http://schemas.openxmlformats.org/officeDocument/2006/relationships/hyperlink" Id="rId97" Target="https://doi.org/10.1016/j.jtte.2021.03.005" TargetMode="External" /><Relationship Type="http://schemas.openxmlformats.org/officeDocument/2006/relationships/hyperlink" Id="rId69" Target="https://doi.org/10.1016/j.sandf.2020.02.010" TargetMode="External" /><Relationship Type="http://schemas.openxmlformats.org/officeDocument/2006/relationships/hyperlink" Id="rId51" Target="https://doi.org/10.1038/s41598-022-17429-z" TargetMode="External" /><Relationship Type="http://schemas.openxmlformats.org/officeDocument/2006/relationships/hyperlink" Id="rId67" Target="https://doi.org/10.1038/s41598-024-61313-x" TargetMode="External" /><Relationship Type="http://schemas.openxmlformats.org/officeDocument/2006/relationships/hyperlink" Id="rId53" Target="https://doi.org/10.1109/access.2020.2966881" TargetMode="External" /><Relationship Type="http://schemas.openxmlformats.org/officeDocument/2006/relationships/hyperlink" Id="rId59" Target="https://doi.org/10.1109/access.2020.2991968" TargetMode="External" /><Relationship Type="http://schemas.openxmlformats.org/officeDocument/2006/relationships/hyperlink" Id="rId45" Target="https://doi.org/10.1109/access.2022.3196660" TargetMode="External" /><Relationship Type="http://schemas.openxmlformats.org/officeDocument/2006/relationships/hyperlink" Id="rId99" Target="https://doi.org/10.1109/tits.2022.3161689" TargetMode="External" /><Relationship Type="http://schemas.openxmlformats.org/officeDocument/2006/relationships/hyperlink" Id="rId73" Target="https://doi.org/10.1111/mice.70102" TargetMode="External" /><Relationship Type="http://schemas.openxmlformats.org/officeDocument/2006/relationships/hyperlink" Id="rId57" Target="https://doi.org/10.1139/cjce-2017-0132" TargetMode="External" /><Relationship Type="http://schemas.openxmlformats.org/officeDocument/2006/relationships/hyperlink" Id="rId101" Target="https://doi.org/10.1155/2020/8824135" TargetMode="External" /><Relationship Type="http://schemas.openxmlformats.org/officeDocument/2006/relationships/hyperlink" Id="rId91" Target="https://doi.org/10.1177/03611981241245991" TargetMode="External" /><Relationship Type="http://schemas.openxmlformats.org/officeDocument/2006/relationships/hyperlink" Id="rId55" Target="https://doi.org/10.1186/s43065-023-00082-9" TargetMode="External" /><Relationship Type="http://schemas.openxmlformats.org/officeDocument/2006/relationships/hyperlink" Id="rId47" Target="https://doi.org/10.1186/s44147-025-00706-9" TargetMode="External" /><Relationship Type="http://schemas.openxmlformats.org/officeDocument/2006/relationships/hyperlink" Id="rId103" Target="https://doi.org/10.28991/cej-2025-011-01-06" TargetMode="External" /><Relationship Type="http://schemas.openxmlformats.org/officeDocument/2006/relationships/hyperlink" Id="rId49" Target="https://doi.org/10.32604/cmc.2023.042183" TargetMode="External" /><Relationship Type="http://schemas.openxmlformats.org/officeDocument/2006/relationships/hyperlink" Id="rId95" Target="https://doi.org/10.3390/app132312862" TargetMode="External" /><Relationship Type="http://schemas.openxmlformats.org/officeDocument/2006/relationships/hyperlink" Id="rId85" Target="https://doi.org/10.3390/app9163221" TargetMode="External" /><Relationship Type="http://schemas.openxmlformats.org/officeDocument/2006/relationships/hyperlink" Id="rId83" Target="https://doi.org/10.3390/asi9070133" TargetMode="External" /><Relationship Type="http://schemas.openxmlformats.org/officeDocument/2006/relationships/hyperlink" Id="rId71" Target="https://doi.org/10.3390/data3030028" TargetMode="External" /><Relationship Type="http://schemas.openxmlformats.org/officeDocument/2006/relationships/hyperlink" Id="rId61" Target="https://doi.org/10.3390/infrastructures11040127" TargetMode="External" /><Relationship Type="http://schemas.openxmlformats.org/officeDocument/2006/relationships/hyperlink" Id="rId77" Target="https://doi.org/10.3390/infrastructures6020028" TargetMode="External" /><Relationship Type="http://schemas.openxmlformats.org/officeDocument/2006/relationships/hyperlink" Id="rId81" Target="https://doi.org/10.3390/ma18122913" TargetMode="External" /><Relationship Type="http://schemas.openxmlformats.org/officeDocument/2006/relationships/hyperlink" Id="rId93" Target="https://doi.org/10.3390/s23073772" TargetMode="External" /><Relationship Type="http://schemas.openxmlformats.org/officeDocument/2006/relationships/hyperlink" Id="rId87" Target="https://doi.org/10.48550/arxiv.2112.125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doi.org/10.1007/s41062-020-00312-z" TargetMode="External" /><Relationship Type="http://schemas.openxmlformats.org/officeDocument/2006/relationships/hyperlink" Id="rId89" Target="https://doi.org/10.1007/s43995-026-00294-6" TargetMode="External" /><Relationship Type="http://schemas.openxmlformats.org/officeDocument/2006/relationships/hyperlink" Id="rId65" Target="https://doi.org/10.1016/j.conbuildmat.2025.143050" TargetMode="External" /><Relationship Type="http://schemas.openxmlformats.org/officeDocument/2006/relationships/hyperlink" Id="rId75" Target="https://doi.org/10.1016/j.cscm.2022.e00991" TargetMode="External" /><Relationship Type="http://schemas.openxmlformats.org/officeDocument/2006/relationships/hyperlink" Id="rId79" Target="https://doi.org/10.1016/j.eng.2020.07.030" TargetMode="External" /><Relationship Type="http://schemas.openxmlformats.org/officeDocument/2006/relationships/hyperlink" Id="rId97" Target="https://doi.org/10.1016/j.jtte.2021.03.005" TargetMode="External" /><Relationship Type="http://schemas.openxmlformats.org/officeDocument/2006/relationships/hyperlink" Id="rId69" Target="https://doi.org/10.1016/j.sandf.2020.02.010" TargetMode="External" /><Relationship Type="http://schemas.openxmlformats.org/officeDocument/2006/relationships/hyperlink" Id="rId51" Target="https://doi.org/10.1038/s41598-022-17429-z" TargetMode="External" /><Relationship Type="http://schemas.openxmlformats.org/officeDocument/2006/relationships/hyperlink" Id="rId67" Target="https://doi.org/10.1038/s41598-024-61313-x" TargetMode="External" /><Relationship Type="http://schemas.openxmlformats.org/officeDocument/2006/relationships/hyperlink" Id="rId53" Target="https://doi.org/10.1109/access.2020.2966881" TargetMode="External" /><Relationship Type="http://schemas.openxmlformats.org/officeDocument/2006/relationships/hyperlink" Id="rId59" Target="https://doi.org/10.1109/access.2020.2991968" TargetMode="External" /><Relationship Type="http://schemas.openxmlformats.org/officeDocument/2006/relationships/hyperlink" Id="rId45" Target="https://doi.org/10.1109/access.2022.3196660" TargetMode="External" /><Relationship Type="http://schemas.openxmlformats.org/officeDocument/2006/relationships/hyperlink" Id="rId99" Target="https://doi.org/10.1109/tits.2022.3161689" TargetMode="External" /><Relationship Type="http://schemas.openxmlformats.org/officeDocument/2006/relationships/hyperlink" Id="rId73" Target="https://doi.org/10.1111/mice.70102" TargetMode="External" /><Relationship Type="http://schemas.openxmlformats.org/officeDocument/2006/relationships/hyperlink" Id="rId57" Target="https://doi.org/10.1139/cjce-2017-0132" TargetMode="External" /><Relationship Type="http://schemas.openxmlformats.org/officeDocument/2006/relationships/hyperlink" Id="rId101" Target="https://doi.org/10.1155/2020/8824135" TargetMode="External" /><Relationship Type="http://schemas.openxmlformats.org/officeDocument/2006/relationships/hyperlink" Id="rId91" Target="https://doi.org/10.1177/03611981241245991" TargetMode="External" /><Relationship Type="http://schemas.openxmlformats.org/officeDocument/2006/relationships/hyperlink" Id="rId55" Target="https://doi.org/10.1186/s43065-023-00082-9" TargetMode="External" /><Relationship Type="http://schemas.openxmlformats.org/officeDocument/2006/relationships/hyperlink" Id="rId47" Target="https://doi.org/10.1186/s44147-025-00706-9" TargetMode="External" /><Relationship Type="http://schemas.openxmlformats.org/officeDocument/2006/relationships/hyperlink" Id="rId103" Target="https://doi.org/10.28991/cej-2025-011-01-06" TargetMode="External" /><Relationship Type="http://schemas.openxmlformats.org/officeDocument/2006/relationships/hyperlink" Id="rId49" Target="https://doi.org/10.32604/cmc.2023.042183" TargetMode="External" /><Relationship Type="http://schemas.openxmlformats.org/officeDocument/2006/relationships/hyperlink" Id="rId95" Target="https://doi.org/10.3390/app132312862" TargetMode="External" /><Relationship Type="http://schemas.openxmlformats.org/officeDocument/2006/relationships/hyperlink" Id="rId85" Target="https://doi.org/10.3390/app9163221" TargetMode="External" /><Relationship Type="http://schemas.openxmlformats.org/officeDocument/2006/relationships/hyperlink" Id="rId83" Target="https://doi.org/10.3390/asi9070133" TargetMode="External" /><Relationship Type="http://schemas.openxmlformats.org/officeDocument/2006/relationships/hyperlink" Id="rId71" Target="https://doi.org/10.3390/data3030028" TargetMode="External" /><Relationship Type="http://schemas.openxmlformats.org/officeDocument/2006/relationships/hyperlink" Id="rId61" Target="https://doi.org/10.3390/infrastructures11040127" TargetMode="External" /><Relationship Type="http://schemas.openxmlformats.org/officeDocument/2006/relationships/hyperlink" Id="rId77" Target="https://doi.org/10.3390/infrastructures6020028" TargetMode="External" /><Relationship Type="http://schemas.openxmlformats.org/officeDocument/2006/relationships/hyperlink" Id="rId81" Target="https://doi.org/10.3390/ma18122913" TargetMode="External" /><Relationship Type="http://schemas.openxmlformats.org/officeDocument/2006/relationships/hyperlink" Id="rId93" Target="https://doi.org/10.3390/s23073772" TargetMode="External" /><Relationship Type="http://schemas.openxmlformats.org/officeDocument/2006/relationships/hyperlink" Id="rId87" Target="https://doi.org/10.48550/arxiv.2112.125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Hybridisation Pay? A Systematic Review of Metaheuristic Optimisation and Machine Learning Hybrids in Pavement Engineering (2005–2026)</dc:title>
  <dc:creator>Seyed Saber Naseralavi; Ali Reza Ghanizadeh</dc:creator>
  <cp:keywords>pavement engineering, metaheuristic optimisation, machine learning, hybrid models, systematic review, methodological rigour</cp:keywords>
  <dcterms:created xsi:type="dcterms:W3CDTF">2026-08-09T04:30:20Z</dcterms:created>
  <dcterms:modified xsi:type="dcterms:W3CDTF">2026-08-09T04:30:20Z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PLACEHOLDER — structured abstract, ~280 words, written last so that every number in it traces to the audit. Do not draft this before Section 9 is final.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_extensions/quarto-journals/elsevier/bib/elsevier-harvard.csl</vt:lpwstr>
  </property>
  <property fmtid="{D5CDD505-2E9C-101B-9397-08002B2CF9AE}" pid="10" name="date">
    <vt:lpwstr>2026-08-09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