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29.png" ContentType="image/png"/>
  <Override PartName="/word/media/rId47.png" ContentType="image/png"/>
  <Override PartName="/word/media/rId1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budget, the baseline that would actually isolate</w:t>
      </w:r>
      <w:r>
        <w:t xml:space="preserve"> </w:t>
      </w:r>
      <w:r>
        <w:t xml:space="preserve">what the metaheuristic contributed. Where that comparison has been made, in the small</w:t>
      </w:r>
      <w:r>
        <w:t xml:space="preserve"> </w:t>
      </w:r>
      <w:r>
        <w:t xml:space="preserve">number of cases located so far, the hybrid’s advantage over a properly tuned baseline</w:t>
      </w:r>
      <w:r>
        <w:t xml:space="preserve"> </w:t>
      </w:r>
      <w:r>
        <w:t xml:space="preserve">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</w:t>
      </w:r>
      <w:r>
        <w:t xml:space="preserve"> </w:t>
      </w:r>
      <w:r>
        <w:t xml:space="preserve">tuned eight learners, including deep architectures, against the Witczak and Hirsch</w:t>
      </w:r>
      <w:r>
        <w:t xml:space="preserve"> </w:t>
      </w:r>
      <w:r>
        <w:t xml:space="preserve">mechanistic models for asphalt dynamic modulus; the winner was a tuned bagging</w:t>
      </w:r>
      <w:r>
        <w:t xml:space="preserve"> </w:t>
      </w:r>
      <w:r>
        <w:t xml:space="preserve">ensemble, not a hybrid and not a deep 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 one base learner against each other and</w:t>
      </w:r>
      <w:r>
        <w:t xml:space="preserve"> </w:t>
      </w:r>
      <w:r>
        <w:t xml:space="preserve">report top-three results within a fraction of a percentage point of R</w:t>
      </w:r>
      <w:r>
        <w:rPr>
          <w:vertAlign w:val="superscript"/>
        </w:rPr>
        <w:t xml:space="preserve">2</w:t>
      </w:r>
      <w:r>
        <w:t xml:space="preserve">, a</w:t>
      </w:r>
      <w:r>
        <w:t xml:space="preserve"> </w:t>
      </w:r>
      <w:r>
        <w:t xml:space="preserve">separation well inside what a different random seed would plausibly produce, but</w:t>
      </w:r>
      <w:r>
        <w:t xml:space="preserve"> </w:t>
      </w:r>
      <w:r>
        <w:t xml:space="preserve">never against a conventionally tuned version of the same learner, so no premium can</w:t>
      </w:r>
      <w:r>
        <w:t xml:space="preserve"> </w:t>
      </w:r>
      <w:r>
        <w:t xml:space="preserve">be read from the paper as published. These two studies, sitting side by side in the</w:t>
      </w:r>
      <w:r>
        <w:t xml:space="preserve"> </w:t>
      </w:r>
      <w:r>
        <w:t xml:space="preserve">same sub-field, illustrate the gap this review sets out to measure at scale: how</w:t>
      </w:r>
      <w:r>
        <w:t xml:space="preserve"> </w:t>
      </w:r>
      <w:r>
        <w:t xml:space="preserve">often is the hybridisation premium (the gain attributable to the coupling itself,</w:t>
      </w:r>
      <w:r>
        <w:t xml:space="preserve"> </w:t>
      </w:r>
      <w:r>
        <w:t xml:space="preserve">over a fairly tuned baseline) actually reported, and how large is it when it is?</w:t>
      </w:r>
    </w:p>
    <w:p>
      <w:pPr>
        <w:pStyle w:val="BodyText"/>
      </w:pPr>
      <w:r>
        <w:t xml:space="preserve">Answering that question first requires solving a prior one: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</w:t>
      </w:r>
      <w:r>
        <w:t xml:space="preserve"> </w:t>
      </w:r>
      <w:r>
        <w:t xml:space="preserve">relevant work, because many qualifying studies describe themselves with the</w:t>
      </w:r>
      <w:r>
        <w:t xml:space="preserve"> </w:t>
      </w:r>
      <w:r>
        <w:t xml:space="preserve">vocabulary of optimisation rather than of hybridity:</w:t>
      </w:r>
      <w:r>
        <w:t xml:space="preserve"> </w:t>
      </w:r>
      <w:r>
        <w:t xml:space="preserve">“optimised,”</w:t>
      </w:r>
      <w:r>
        <w:t xml:space="preserve"> </w:t>
      </w:r>
      <w:r>
        <w:t xml:space="preserve">“improved,”</w:t>
      </w:r>
      <w:r>
        <w:t xml:space="preserve"> </w:t>
      </w:r>
      <w:r>
        <w:t xml:space="preserve">“novel</w:t>
      </w:r>
      <w:r>
        <w:t xml:space="preserve"> </w:t>
      </w:r>
      <w:r>
        <w:t xml:space="preserve">X–Y,”</w:t>
      </w:r>
      <w:r>
        <w:t xml:space="preserve"> </w:t>
      </w:r>
      <w:r>
        <w:t xml:space="preserve">or simply the two algorithm names side by side. Alhussan et al.’s</w:t>
      </w:r>
      <w:r>
        <w:t xml:space="preserve"> </w:t>
      </w:r>
      <w:r>
        <w:t xml:space="preserve">dipper-throated-optimisation random forest for pothole classification is a case in</w:t>
      </w:r>
      <w:r>
        <w:t xml:space="preserve"> </w:t>
      </w:r>
      <w:r>
        <w:t xml:space="preserve">point. It is widely cited and structurally a textbook metaheuristic-on-learner</w:t>
      </w:r>
      <w:r>
        <w:t xml:space="preserve"> </w:t>
      </w:r>
      <w:r>
        <w:t xml:space="preserve">hybrid, yet it is retrievable by a search on algorithm names and not reliably by a</w:t>
      </w:r>
      <w:r>
        <w:t xml:space="preserve"> </w:t>
      </w:r>
      <w:r>
        <w:t xml:space="preserve">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 the algorithm-driven search</w:t>
      </w:r>
      <w:r>
        <w:t xml:space="preserve"> </w:t>
      </w:r>
      <w:r>
        <w:t xml:space="preserve">design this observation motivates, and reports, as one of the review’s descriptive</w:t>
      </w:r>
      <w:r>
        <w:t xml:space="preserve"> </w:t>
      </w:r>
      <w:r>
        <w:t xml:space="preserve">findings, what share of the eligible literature a label-driven search alone would</w:t>
      </w:r>
      <w:r>
        <w:t xml:space="preserve"> </w:t>
      </w:r>
      <w:r>
        <w:t xml:space="preserve">have missed.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(data provenance, model</w:t>
      </w:r>
      <w:r>
        <w:t xml:space="preserve"> </w:t>
      </w:r>
      <w:r>
        <w:t xml:space="preserve">performance, explanation quality, physical plausibility, decision utility)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unoccupied,</w:t>
      </w:r>
      <w:r>
        <w:t xml:space="preserve"> </w:t>
      </w:r>
      <w:r>
        <w:t xml:space="preserve">but that Jweihan’s review is organised around explainability as the object of study</w:t>
      </w:r>
      <w:r>
        <w:t xml:space="preserve"> </w:t>
      </w:r>
      <w:r>
        <w:t xml:space="preserve">and conducted at scoping-review depth (breadth of coverage, not per-study</w:t>
      </w:r>
      <w:r>
        <w:t xml:space="preserve"> </w:t>
      </w:r>
      <w:r>
        <w:t xml:space="preserve">methodological coding). The present review is instead organised around</w:t>
      </w:r>
      <w:r>
        <w:t xml:space="preserve"> </w:t>
      </w:r>
      <w:r>
        <w:t xml:space="preserve">hybridisation, the optimiser-learner coupling itself, as the object of study: it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 as</w:t>
      </w:r>
      <w:r>
        <w:t xml:space="preserve"> </w:t>
      </w:r>
      <w:r>
        <w:t xml:space="preserve">a quantified premium rather than as a coverage synthesis. Interpretability is one of</w:t>
      </w:r>
      <w:r>
        <w:t xml:space="preserve"> </w:t>
      </w:r>
      <w:r>
        <w:t xml:space="preserve">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 where</w:t>
      </w:r>
      <w:r>
        <w:t xml:space="preserve"> </w:t>
      </w:r>
      <w:r>
        <w:t xml:space="preserve">PAVE-ML’s interpretability items and Jweihan’s five-layer framework agree and where</w:t>
      </w:r>
      <w:r>
        <w:t xml:space="preserve"> </w:t>
      </w:r>
      <w:r>
        <w:t xml:space="preserve">they diverge. What none of these three contributions does, and what remains this</w:t>
      </w:r>
      <w:r>
        <w:t xml:space="preserve"> </w:t>
      </w:r>
      <w:r>
        <w:t xml:space="preserve">review’s distinguishing claim,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absent;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its stated</w:t>
            </w:r>
            <w:r>
              <w:t xml:space="preserve"> </w:t>
            </w:r>
            <w:r>
              <w:t xml:space="preserve">scope.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4" w:name="sec-method"/>
    <w:p>
      <w:pPr>
        <w:pStyle w:val="Heading1"/>
      </w:pPr>
      <w:r>
        <w:t xml:space="preserve">2. Review methodology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22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, and from a 261-query</w:t>
      </w:r>
      <w:r>
        <w:t xml:space="preserve"> </w:t>
      </w:r>
      <w:r>
        <w:t xml:space="preserve">algorithmic search crossing metaheuristic-optimiser names, base-learner names and</w:t>
      </w:r>
      <w:r>
        <w:t xml:space="preserve"> </w:t>
      </w:r>
      <w:r>
        <w:t xml:space="preserve">legacy hybrid-labelled vocabulary against a mandatory pavement-terminology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analysis/harvest_openalex.py</w:t>
      </w:r>
      <w:r>
        <w:t xml:space="preserve">; run against the Crossref API rather than OpenAlex</w:t>
      </w:r>
      <w:r>
        <w:t xml:space="preserve"> </w:t>
      </w:r>
      <w:r>
        <w:t xml:space="preserve">directly, see the Data Availability statement). The window runs from 1 January 2005</w:t>
      </w:r>
      <w:r>
        <w:t xml:space="preserve"> </w:t>
      </w:r>
      <w:r>
        <w:t xml:space="preserve">to 30 June 2026 — a date in the reader’s future at first glance, but not an error:</w:t>
      </w:r>
      <w:r>
        <w:t xml:space="preserve"> </w:t>
      </w:r>
      <w:r>
        <w:t xml:space="preserve">the corpus includes a meaningful number of 2025 and 2026 citations because</w:t>
      </w:r>
      <w:r>
        <w:t xml:space="preserve"> </w:t>
      </w:r>
      <w:r>
        <w:t xml:space="preserve">publishers now routinely assign a final year and DOI to an article at Online</w:t>
      </w:r>
      <w:r>
        <w:t xml:space="preserve"> </w:t>
      </w:r>
      <w:r>
        <w:t xml:space="preserve">First / Early Access publication, ahead of formal volume assignment, and every</w:t>
      </w:r>
      <w:r>
        <w:t xml:space="preserve"> </w:t>
      </w:r>
      <w:r>
        <w:t xml:space="preserve">such record here resolves to a live DOI (verified per the protocol in §2.3), not</w:t>
      </w:r>
      <w:r>
        <w:t xml:space="preserve"> </w:t>
      </w:r>
      <w:r>
        <w:t xml:space="preserve">a placeholder or a forecast.</w:t>
      </w:r>
      <w:r>
        <w:t xml:space="preserve"> </w:t>
      </w:r>
      <w:hyperlink w:anchor="fig-review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reports the current, actual state of</w:t>
      </w:r>
      <w:r>
        <w:t xml:space="preserve"> </w:t>
      </w:r>
      <w:r>
        <w:t xml:space="preserve">this identification-and-screening pipeline — it is not a completed PRISMA 2020</w:t>
      </w:r>
      <w:r>
        <w:t xml:space="preserve"> </w:t>
      </w:r>
      <w:r>
        <w:t xml:space="preserve">flow diagram, because screening is not complete: every count in it is read</w:t>
      </w:r>
      <w:r>
        <w:t xml:space="preserve"> </w:t>
      </w:r>
      <w:r>
        <w:t xml:space="preserve">directly from the harvest logs and the working database, not projected or</w:t>
      </w:r>
      <w:r>
        <w:t xml:space="preserve"> </w:t>
      </w:r>
      <w:r>
        <w:t xml:space="preserve">estimated, and the figure is captioned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eview-flow"/>
          <w:p>
            <w:pPr>
              <w:pStyle w:val="Compact"/>
              <w:jc w:val="center"/>
            </w:pPr>
            <w:r>
              <w:drawing>
                <wp:inline>
                  <wp:extent cx="4533900" cy="496700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fig05_review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967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Review process status, reported as it actually stands rather than as a completed</w:t>
            </w:r>
            <w:r>
              <w:t xml:space="preserve"> </w:t>
            </w:r>
            <w:r>
              <w:t xml:space="preserve">PRISMA 2020 flow diagram — screening of the 2026 algorithmic harvest is ongoing, not</w:t>
            </w:r>
            <w:r>
              <w:t xml:space="preserve"> </w:t>
            </w:r>
            <w:r>
              <w:t xml:space="preserve">finished. Every count is read directly from the harvest logs and the working</w:t>
            </w:r>
            <w:r>
              <w:t xml:space="preserve"> </w:t>
            </w:r>
            <w:r>
              <w:t xml:space="preserve">database.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23"/>
    <w:bookmarkEnd w:id="24"/>
    <w:bookmarkStart w:id="37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The analysis in this section characterises the 143 primary</w:t>
      </w:r>
      <w:r>
        <w:t xml:space="preserve"> </w:t>
      </w:r>
      <w:r>
        <w:t xml:space="preserve">studies identified and coded to date (</w:t>
      </w:r>
      <w:r>
        <w:rPr>
          <w:rStyle w:val="VerbatimChar"/>
        </w:rPr>
        <w:t xml:space="preserve">data/seed_bibliography.csv</w:t>
      </w:r>
      <w:r>
        <w:t xml:space="preserve">), rather than a</w:t>
      </w:r>
      <w:r>
        <w:t xml:space="preserve"> </w:t>
      </w:r>
      <w:r>
        <w:t xml:space="preserve">closed, exhaustively screened census of the field; the identification pipeline in</w:t>
      </w:r>
      <w:r>
        <w:t xml:space="preserve"> </w:t>
      </w:r>
      <w:r>
        <w:t xml:space="preserve">§2.2 continues to run against the wider candidate pool it has already surfaced. One</w:t>
      </w:r>
      <w:r>
        <w:t xml:space="preserve"> </w:t>
      </w:r>
      <w:r>
        <w:t xml:space="preserve">pattern in particular deserves the caveat explicitly: the apparent concentration of</w:t>
      </w:r>
      <w:r>
        <w:t xml:space="preserve"> </w:t>
      </w:r>
      <w:r>
        <w:t xml:space="preserve">records after 2020 (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) is at least partly an artefact of the search</w:t>
      </w:r>
      <w:r>
        <w:t xml:space="preserve"> </w:t>
      </w:r>
      <w:r>
        <w:t xml:space="preserve">protocol rather than solely a publication-volume trend, since a strategy built</w:t>
      </w:r>
      <w:r>
        <w:t xml:space="preserve"> </w:t>
      </w:r>
      <w:r>
        <w:t xml:space="preserve">around specific optimiser and learner vocabulary recovers records faster from years</w:t>
      </w:r>
      <w:r>
        <w:t xml:space="preserve"> </w:t>
      </w:r>
      <w:r>
        <w:t xml:space="preserve">in which that vocabulary was already common than from earlier years in which the</w:t>
      </w:r>
      <w:r>
        <w:t xml:space="preserve"> </w:t>
      </w:r>
      <w:r>
        <w:t xml:space="preserve">same methods existed under different names. Distinguishing genuine acceleration</w:t>
      </w:r>
      <w:r>
        <w:t xml:space="preserve"> </w:t>
      </w:r>
      <w:r>
        <w:t xml:space="preserve">from search-protocol recency bias would require a citation-network or full-database</w:t>
      </w:r>
      <w:r>
        <w:t xml:space="preserve"> </w:t>
      </w:r>
      <w:r>
        <w:t xml:space="preserve">comparison beyond this review’s own corpus, and is noted here as an open question</w:t>
      </w:r>
      <w:r>
        <w:t xml:space="preserve"> </w:t>
      </w:r>
      <w:r>
        <w:t xml:space="preserve">the figures below do not resolve on their own.</w:t>
      </w:r>
    </w:p>
    <w:p>
      <w:pPr>
        <w:pStyle w:val="BodyText"/>
      </w:pPr>
      <w:r>
        <w:t xml:space="preserve">Of the 143 primary studies coded,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29</w:t>
      </w:r>
      <w:r>
        <w:t xml:space="preserve"> </w:t>
      </w:r>
      <w:r>
        <w:t xml:space="preserve">of 143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8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</w:t>
            </w:r>
            <w:r>
              <w:t xml:space="preserve"> </w:t>
            </w:r>
            <w:r>
              <w:t xml:space="preserve">trajectory.</w:t>
            </w:r>
          </w:p>
          <w:bookmarkEnd w:id="32"/>
        </w:tc>
      </w:tr>
    </w:tbl>
    <w:p>
      <w:pPr>
        <w:pStyle w:val="BodyText"/>
      </w:pPr>
      <w:r>
        <w:t xml:space="preserve">Two further descriptive facts, both read directly from the coded database rather</w:t>
      </w:r>
      <w:r>
        <w:t xml:space="preserve"> </w:t>
      </w:r>
      <w:r>
        <w:t xml:space="preserve">than estimated, complete the picture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give of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hybridisation is reported: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pavement engineering it</w:t>
      </w:r>
      <w:r>
        <w:t xml:space="preserve"> </w:t>
      </w:r>
      <w:r>
        <w:t xml:space="preserve">concentrates,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optimiser families do the coupling.</w:t>
      </w:r>
      <w:r>
        <w:t xml:space="preserve"> </w:t>
      </w:r>
      <w:hyperlink w:anchor="fig-domain-optimizer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both. Materials characterisation and performance prediction together account</w:t>
      </w:r>
      <w:r>
        <w:t xml:space="preserve"> </w:t>
      </w:r>
      <w:r>
        <w:t xml:space="preserve">for just over half the corpus (38 studies each), consistent with §5 and §7’s</w:t>
      </w:r>
      <w:r>
        <w:t xml:space="preserve"> </w:t>
      </w:r>
      <w:r>
        <w:t xml:space="preserve">observation that these are the two sub-domains where a competing mechanistic or</w:t>
      </w:r>
      <w:r>
        <w:t xml:space="preserve"> </w:t>
      </w:r>
      <w:r>
        <w:t xml:space="preserve">empirical model is most often already available for the tuned-baseline comparison</w:t>
      </w:r>
      <w:r>
        <w:t xml:space="preserve"> </w:t>
      </w:r>
      <w:r>
        <w:t xml:space="preserve">§9 is built to test. On the optimiser side, a genetic algorithm or particle swarm</w:t>
      </w:r>
      <w:r>
        <w:t xml:space="preserve"> </w:t>
      </w:r>
      <w:r>
        <w:t xml:space="preserve">optimisation account for over half of the 51 studies that name a specific</w:t>
      </w:r>
      <w:r>
        <w:t xml:space="preserve"> </w:t>
      </w:r>
      <w:r>
        <w:t xml:space="preserve">optimiser family at all, with the remaining studies spread across more than twenty</w:t>
      </w:r>
      <w:r>
        <w:t xml:space="preserve"> </w:t>
      </w:r>
      <w:r>
        <w:t xml:space="preserve">distinctly named metaheuristics appearing once or twice each — the empirical</w:t>
      </w:r>
      <w:r>
        <w:t xml:space="preserve"> </w:t>
      </w:r>
      <w:r>
        <w:t xml:space="preserve">counterpart to the</w:t>
      </w:r>
      <w:r>
        <w:t xml:space="preserve"> </w:t>
      </w:r>
      <w:r>
        <w:t xml:space="preserve">“optimiser proliferation”</w:t>
      </w:r>
      <w:r>
        <w:t xml:space="preserve"> </w:t>
      </w:r>
      <w:r>
        <w:t xml:space="preserve">question posed in §13, and consistent</w:t>
      </w:r>
      <w:r>
        <w:t xml:space="preserve"> </w:t>
      </w:r>
      <w:r>
        <w:t xml:space="preserve">with a field in which naming a new metaheuristic is, on its own, treated as</w:t>
      </w:r>
      <w:r>
        <w:t xml:space="preserve"> </w:t>
      </w:r>
      <w:r>
        <w:t xml:space="preserve">sufficient novelty (§1).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omain-optimizer"/>
          <w:p>
            <w:pPr>
              <w:pStyle w:val="Compact"/>
              <w:jc w:val="center"/>
            </w:pPr>
            <w:r>
              <w:drawing>
                <wp:inline>
                  <wp:extent cx="5334000" cy="25546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ig_domain_optimizer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54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Where the corpus’s hybridisation activity concentrates: (a) primary studies by</w:t>
            </w:r>
            <w:r>
              <w:t xml:space="preserve"> </w:t>
            </w:r>
            <w:r>
              <w:t xml:space="preserve">pavement sub-domain, (b) primary studies by named optimiser family, among the 51</w:t>
            </w:r>
            <w:r>
              <w:t xml:space="preserve"> </w:t>
            </w:r>
            <w:r>
              <w:t xml:space="preserve">of 143 where a specific family applies. Both panels are tabulated directly from</w:t>
            </w:r>
            <w:r>
              <w:t xml:space="preserve"> </w:t>
            </w:r>
            <w:r>
              <w:rPr>
                <w:rStyle w:val="VerbatimChar"/>
              </w:rPr>
              <w:t xml:space="preserve">data/seed_bibliography.csv</w:t>
            </w:r>
            <w:r>
              <w:t xml:space="preserve">; panel (b) merges free-text spelling variants of the</w:t>
            </w:r>
            <w:r>
              <w:t xml:space="preserve"> </w:t>
            </w:r>
            <w:r>
              <w:t xml:space="preserve">same optimiser (e.g. </w:t>
            </w:r>
            <w:r>
              <w:t xml:space="preserve">“PSO”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“particle swarm optimization”</w:t>
            </w:r>
            <w:r>
              <w:t xml:space="preserve">) under one label, and</w:t>
            </w:r>
            <w:r>
              <w:t xml:space="preserve"> </w:t>
            </w:r>
            <w:r>
              <w:t xml:space="preserve">excludes methods named only once each rather than folding them into an</w:t>
            </w:r>
            <w:r>
              <w:t xml:space="preserve"> </w:t>
            </w:r>
            <w:r>
              <w:t xml:space="preserve">unrelated</w:t>
            </w:r>
            <w:r>
              <w:t xml:space="preserve"> </w:t>
            </w:r>
            <w:r>
              <w:t xml:space="preserve">bucket.</w:t>
            </w:r>
          </w:p>
          <w:bookmarkEnd w:id="36"/>
        </w:tc>
      </w:tr>
    </w:tbl>
    <w:bookmarkEnd w:id="37"/>
    <w:bookmarkStart w:id="44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hyperlink w:anchor="fig-taxonomy-schematic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gives the same seven types as a diagram, useful for</w:t>
      </w:r>
      <w:r>
        <w:t xml:space="preserve"> </w:t>
      </w:r>
      <w:r>
        <w:t xml:space="preserve">distinguishing at a glance couplings that read similarly in prose — H1 and H2</w:t>
      </w:r>
      <w:r>
        <w:t xml:space="preserve"> </w:t>
      </w:r>
      <w:r>
        <w:t xml:space="preserve">differ only in whether the metaheuristic’s output feeds a hyperparameter or a</w:t>
      </w:r>
      <w:r>
        <w:t xml:space="preserve"> </w:t>
      </w:r>
      <w:r>
        <w:t xml:space="preserve">weight, H5 and H6 both fan multiple components into one learner but in the</w:t>
      </w:r>
      <w:r>
        <w:t xml:space="preserve"> </w:t>
      </w:r>
      <w:r>
        <w:t xml:space="preserve">opposite direction (converging predictions versus converging decomposed inputs).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taxonomy-schematic"/>
          <w:p>
            <w:pPr>
              <w:pStyle w:val="Compact"/>
              <w:jc w:val="center"/>
            </w:pPr>
            <w:r>
              <w:drawing>
                <wp:inline>
                  <wp:extent cx="5334000" cy="3055337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s/fig_taxonomy_schematic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553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Schematic architecture of the seven hybridisation types. Boxes shown in the</w:t>
            </w:r>
            <w:r>
              <w:t xml:space="preserve"> </w:t>
            </w:r>
            <w:r>
              <w:t xml:space="preserve">same colour play the same structural role across panels (base learner, search</w:t>
            </w:r>
            <w:r>
              <w:t xml:space="preserve"> </w:t>
            </w:r>
            <w:r>
              <w:t xml:space="preserve">component, or data/physics/decomposition component); the diagram sets out the</w:t>
            </w:r>
            <w:r>
              <w:t xml:space="preserve"> </w:t>
            </w:r>
            <w:r>
              <w:t xml:space="preserve">general coupling each type names, not any one paper’s specific</w:t>
            </w:r>
            <w:r>
              <w:t xml:space="preserve"> </w:t>
            </w:r>
            <w:r>
              <w:t xml:space="preserve">implementation.</w:t>
            </w:r>
          </w:p>
          <w:bookmarkEnd w:id="42"/>
        </w:tc>
      </w:tr>
    </w:tbl>
    <w:bookmarkStart w:id="43" w:name="formal-structure-of-each-type"/>
    <w:p>
      <w:pPr>
        <w:pStyle w:val="Heading2"/>
      </w:pPr>
      <w:r>
        <w:t xml:space="preserve">4.1 Formal structure of each type</w:t>
      </w:r>
    </w:p>
    <w:p>
      <w:pPr>
        <w:pStyle w:val="FirstParagraph"/>
      </w:pPr>
      <w:r>
        <w:t xml:space="preserve">Naming each type by its coupling, as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does, leaves the coupling</w:t>
      </w:r>
      <w:r>
        <w:t xml:space="preserve"> </w:t>
      </w:r>
      <w:r>
        <w:t xml:space="preserve">itself implicit. Stating it mathematically is what lets §9’s premium construct be</w:t>
      </w:r>
      <w:r>
        <w:t xml:space="preserve"> </w:t>
      </w:r>
      <w:r>
        <w:t xml:space="preserve">posed precisely for H1 and H2, and is done here for the remaining five types with</w:t>
      </w:r>
      <w:r>
        <w:t xml:space="preserve"> </w:t>
      </w:r>
      <w:r>
        <w:t xml:space="preserve">the same notation throughout. Let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denote a base learner with trainable</w:t>
      </w:r>
      <w:r>
        <w:t xml:space="preserve"> </w:t>
      </w:r>
      <w:r>
        <w:t xml:space="preserve">parameters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 input vector,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prediction.</w:t>
      </w:r>
    </w:p>
    <w:p>
      <w:pPr>
        <w:pStyle w:val="BodyText"/>
      </w:pPr>
      <w:r>
        <w:rPr>
          <w:b/>
          <w:bCs/>
        </w:rPr>
        <w:t xml:space="preserve">H1 — metaheuristic → hyperparameters.</w:t>
      </w:r>
      <w:r>
        <w:t xml:space="preserve"> </w:t>
      </w:r>
      <w:r>
        <w:t xml:space="preserve">The base learner’s hyperparameters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Φ</m:t>
        </m:r>
      </m:oMath>
      <w:r>
        <w:t xml:space="preserve"> </w:t>
      </w:r>
      <w:r>
        <w:t xml:space="preserve">(layer width, kernel bandwidth, tree depth, regularisation</w:t>
      </w:r>
      <w:r>
        <w:t xml:space="preserve"> </w:t>
      </w:r>
      <w:r>
        <w:t xml:space="preserve">strength) are selected by a metaheuristic search rather than a grid or gradient</w:t>
      </w:r>
      <w:r>
        <w:t xml:space="preserve"> </w:t>
      </w:r>
      <w:r>
        <w:t xml:space="preserve">method: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ϕ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Φ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ϕ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∣</m:t>
          </m:r>
          <m:r>
            <m:t>ϕ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found by a population-based or trajectory-based search rather than</w:t>
      </w:r>
      <w:r>
        <w:t xml:space="preserve"> </w:t>
      </w:r>
      <w:r>
        <w:t xml:space="preserve">by exhaustive or gradient-based enumeration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H2 — metaheuristic → weights or structure.</w:t>
      </w:r>
      <w:r>
        <w:t xml:space="preserve"> </w:t>
      </w:r>
      <w:r>
        <w:t xml:space="preserve">The metaheuristic instead searches</w:t>
      </w:r>
      <w:r>
        <w:t xml:space="preserve"> </w:t>
      </w:r>
      <w:r>
        <w:t xml:space="preserve">the parameter space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directly, replacing gradient descent: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M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is the metaheuristic’s own update operator — for particle</w:t>
      </w:r>
      <w:r>
        <w:t xml:space="preserve"> </w:t>
      </w:r>
      <w:r>
        <w:t xml:space="preserve">swarm optimisation, for example, a velocity-and-position update over a population</w:t>
      </w:r>
      <w:r>
        <w:t xml:space="preserve"> </w:t>
      </w:r>
      <w:r>
        <w:t xml:space="preserve">of candidate weight vectors — in place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cr m:val="script"/>
            <m:sty m:val="p"/>
          </m:rP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H3 — physics and data.</w:t>
      </w:r>
      <w:r>
        <w:t xml:space="preserve"> </w:t>
      </w:r>
      <w:r>
        <w:t xml:space="preserve">A physics-informed loss term augments the data loss: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data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t> 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phys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[</m:t>
              </m:r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is a mechanistic operator (a governing differential</w:t>
      </w:r>
      <w:r>
        <w:t xml:space="preserve"> </w:t>
      </w:r>
      <w:r>
        <w:t xml:space="preserve">equation’s residual, a transfer-function constraint) the trained function is</w:t>
      </w:r>
      <w:r>
        <w:t xml:space="preserve"> </w:t>
      </w:r>
      <w:r>
        <w:t xml:space="preserve">penalised for violating,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weights the two terms against each other.</w:t>
      </w:r>
    </w:p>
    <w:p>
      <w:pPr>
        <w:pStyle w:val="BodyText"/>
      </w:pPr>
      <w:r>
        <w:rPr>
          <w:b/>
          <w:bCs/>
        </w:rPr>
        <w:t xml:space="preserve">H4 — architecture fusion.</w:t>
      </w:r>
      <w:r>
        <w:t xml:space="preserve"> </w:t>
      </w:r>
      <w:r>
        <w:t xml:space="preserve">Two encoders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different inductive</w:t>
      </w:r>
      <w:r>
        <w:t xml:space="preserve"> </w:t>
      </w:r>
      <w:r>
        <w:t xml:space="preserve">biases are combined by a fusion function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implemented as concatenation, cross-attention, or a learned gate, which is what</w:t>
      </w:r>
      <w:r>
        <w:t xml:space="preserve"> </w:t>
      </w:r>
      <w:r>
        <w:t xml:space="preserve">distinguishes fusion from a single-family ensemble in which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share</w:t>
      </w:r>
      <w:r>
        <w:t xml:space="preserve"> </w:t>
      </w:r>
      <w:r>
        <w:t xml:space="preserve">one architecture.</w:t>
      </w:r>
    </w:p>
    <w:p>
      <w:pPr>
        <w:pStyle w:val="BodyText"/>
      </w:pPr>
      <w:r>
        <w:rPr>
          <w:b/>
          <w:bCs/>
        </w:rPr>
        <w:t xml:space="preserve">H5 — heterogeneous stacking.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base learners drawn from different families</w:t>
      </w:r>
      <w:r>
        <w:t xml:space="preserve"> </w:t>
      </w:r>
      <w:r>
        <w:t xml:space="preserve">produce predictions a meta-learner combines: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meta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The leakage failure mode named in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is precisely when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 </w:t>
      </w:r>
      <w:r>
        <w:t xml:space="preserve">is fitted on in-fold predictions, values each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produced for inputs it had</w:t>
      </w:r>
      <w:r>
        <w:t xml:space="preserve"> </w:t>
      </w:r>
      <w:r>
        <w:t xml:space="preserve">already seen during its own training, rather than on out-of-fold predictions</w:t>
      </w:r>
      <w:r>
        <w:t xml:space="preserve"> </w:t>
      </w:r>
      <w:r>
        <w:t xml:space="preserve">generated under cross-validation.</w:t>
      </w:r>
    </w:p>
    <w:p>
      <w:pPr>
        <w:pStyle w:val="BodyText"/>
      </w:pPr>
      <w:r>
        <w:rPr>
          <w:b/>
          <w:bCs/>
        </w:rPr>
        <w:t xml:space="preserve">H6 — decomposition then learn.</w:t>
      </w:r>
      <w:r>
        <w:t xml:space="preserve"> </w:t>
      </w:r>
      <w:r>
        <w:t xml:space="preserve">A signal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decomposed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components before the learner is applied: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intrinsic mode functions (EMD, CEEMDAN), wavelet coefficients,</w:t>
      </w:r>
      <w:r>
        <w:t xml:space="preserve"> </w:t>
      </w:r>
      <w:r>
        <w:t xml:space="preserve">or VMD modes. The characteristic failure mode is the decomposition itself being</w:t>
      </w:r>
      <w:r>
        <w:t xml:space="preserve"> </w:t>
      </w:r>
      <w:r>
        <w:t xml:space="preserve">computed over the full series, all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once, before any train/test split is</w:t>
      </w:r>
      <w:r>
        <w:t xml:space="preserve"> </w:t>
      </w:r>
      <w:r>
        <w:t xml:space="preserve">subsequently applied to it.</w:t>
      </w:r>
    </w:p>
    <w:p>
      <w:pPr>
        <w:pStyle w:val="BodyText"/>
      </w:pPr>
      <w:r>
        <w:rPr>
          <w:b/>
          <w:bCs/>
        </w:rPr>
        <w:t xml:space="preserve">H7 — symbolic-numeric.</w:t>
      </w:r>
      <w:r>
        <w:t xml:space="preserve"> </w:t>
      </w:r>
      <w:r>
        <w:t xml:space="preserve">An expression tree is evolved by a genetic or</w:t>
      </w:r>
      <w:r>
        <w:t xml:space="preserve"> </w:t>
      </w:r>
      <w:r>
        <w:t xml:space="preserve">grammatical search (GEP, MGGP) over both its structure and its numeric</w:t>
      </w:r>
      <w:r>
        <w:t xml:space="preserve"> </w:t>
      </w:r>
      <w:r>
        <w:t xml:space="preserve">coefficients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expr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nor/>
                  <m:sty m:val="p"/>
                </m:rPr>
                <m:t>expr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nor/>
                  <m:sty m:val="p"/>
                </m:rPr>
                <m:t>expr</m:t>
              </m:r>
              <m:r>
                <m:t> 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cr m:val="script"/>
                  <m:sty m:val="p"/>
                </m:rPr>
                <m:t>T</m:t>
              </m:r>
            </m:lim>
          </m:limLow>
          <m:r>
            <m:t> </m:t>
          </m:r>
          <m:r>
            <m:rPr>
              <m:nor/>
              <m:sty m:val="p"/>
            </m:rPr>
            <m:t>fitness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expr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space of syntactically valid expression trees under the</w:t>
      </w:r>
      <w:r>
        <w:t xml:space="preserve"> </w:t>
      </w:r>
      <w:r>
        <w:t xml:space="preserve">method’s function and terminal sets — a structural search that distinguishes this</w:t>
      </w:r>
      <w:r>
        <w:t xml:space="preserve"> </w:t>
      </w:r>
      <w:r>
        <w:t xml:space="preserve">type from H1 and H2, which search only over a fixed architecture’s parameters or</w:t>
      </w:r>
      <w:r>
        <w:t xml:space="preserve"> </w:t>
      </w:r>
      <w:r>
        <w:t xml:space="preserve">hyperparameters.</w:t>
      </w:r>
    </w:p>
    <w:p>
      <w:pPr>
        <w:pStyle w:val="BodyText"/>
      </w:pPr>
      <w:r>
        <w:rPr>
          <w:b/>
          <w:bCs/>
        </w:rPr>
        <w:t xml:space="preserve">A representative metaheuristic, for concreteness.</w:t>
      </w:r>
      <w:r>
        <w:t xml:space="preserve"> </w:t>
      </w:r>
      <w:r>
        <w:t xml:space="preserve">Particle swarm optimisation,</w:t>
      </w:r>
      <w:r>
        <w:t xml:space="preserve"> </w:t>
      </w:r>
      <w:r>
        <w:t xml:space="preserve">the single most common search procedure named across the corpus, updates a</w:t>
      </w:r>
      <w:r>
        <w:t xml:space="preserve"> </w:t>
      </w:r>
      <w:r>
        <w:t xml:space="preserve">population of candidate solutions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each iteration by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w</m:t>
          </m:r>
          <m:r>
            <m:t> 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particle</w:t>
      </w:r>
      <w:r>
        <w:t xml:space="preserve"> </w:t>
      </w:r>
      <m:oMath>
        <m:r>
          <m:t>i</m:t>
        </m:r>
      </m:oMath>
      <w:r>
        <w:t xml:space="preserve">’s own best position found so far,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swarm’s best</w:t>
      </w:r>
      <w:r>
        <w:t xml:space="preserve"> </w:t>
      </w:r>
      <w:r>
        <w:t xml:space="preserve">position overall,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 inertia weight,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acceleration coefficients,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Applied to H1,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encodes a hyperparameter vector</w:t>
      </w:r>
      <w:r>
        <w:t xml:space="preserve"> </w:t>
      </w:r>
      <m:oMath>
        <m:r>
          <m:t>ϕ</m:t>
        </m:r>
      </m:oMath>
      <w:r>
        <w:t xml:space="preserve">; applied to H2, the same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encodes the base learner’s own weight vector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 The identical update rule, evaluated against a different loss</w:t>
      </w:r>
      <w:r>
        <w:t xml:space="preserve"> </w:t>
      </w:r>
      <w:r>
        <w:t xml:space="preserve">surface, is what distinguishes the two types mechanically, while the structural</w:t>
      </w:r>
      <w:r>
        <w:t xml:space="preserve"> </w:t>
      </w:r>
      <w:r>
        <w:t xml:space="preserve">test in §2.3 is what distinguishes them analytically.</w:t>
      </w:r>
    </w:p>
    <w:p>
      <w:pPr>
        <w:pStyle w:val="BodyText"/>
      </w:pPr>
      <w:r>
        <w:t xml:space="preserve">This formal statement earns its place for one specific reason beyond notation: it</w:t>
      </w:r>
      <w:r>
        <w:t xml:space="preserve"> </w:t>
      </w:r>
      <w:r>
        <w:t xml:space="preserve">makes concrete exactly what §9 asks a fair comparison to hold constant. For H1 and</w:t>
      </w:r>
      <w:r>
        <w:t xml:space="preserve"> </w:t>
      </w:r>
      <w:r>
        <w:t xml:space="preserve">H2, the premium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(§9.1) compares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sSup>
              <m:e>
                <m:r>
                  <m:t>ϕ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tuned by a conventional procedure under a comparable search</w:t>
      </w:r>
      <w:r>
        <w:t xml:space="preserve"> </w:t>
      </w:r>
      <w:r>
        <w:t xml:space="preserve">budget — the same function</w:t>
      </w:r>
      <w:r>
        <w:t xml:space="preserve"> </w:t>
      </w:r>
      <m:oMath>
        <m:r>
          <m:t>f</m:t>
        </m:r>
      </m:oMath>
      <w:r>
        <w:t xml:space="preserve">, reached by a different route to its parameters. A</w:t>
      </w:r>
      <w:r>
        <w:t xml:space="preserve"> </w:t>
      </w:r>
      <w:r>
        <w:t xml:space="preserve">study that reports only the metaheuristic-tuned result has reported one point on</w:t>
      </w:r>
      <w:r>
        <w:t xml:space="preserve"> </w:t>
      </w:r>
      <w:r>
        <w:t xml:space="preserve">this optimisation landscape without the second point that would say whether the</w:t>
      </w:r>
      <w:r>
        <w:t xml:space="preserve"> </w:t>
      </w:r>
      <w:r>
        <w:t xml:space="preserve">metaheuristic, rather than the tuning itself, is what earned the reported gain.</w:t>
      </w:r>
    </w:p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43"/>
    <w:bookmarkEnd w:id="44"/>
    <w:bookmarkStart w:id="45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45"/>
    <w:bookmarkStart w:id="46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raises a</w:t>
      </w:r>
      <w:r>
        <w:t xml:space="preserve"> </w:t>
      </w:r>
      <w:r>
        <w:t xml:space="preserve">natural question this corpus is not yet positioned to answer at abstract level: does</w:t>
      </w:r>
      <w:r>
        <w:t xml:space="preserve"> </w:t>
      </w:r>
      <w:r>
        <w:t xml:space="preserve">the metaheuristic-driven solver in the later paper report an accuracy gain over the</w:t>
      </w:r>
      <w:r>
        <w:t xml:space="preserve"> </w:t>
      </w:r>
      <w:r>
        <w:t xml:space="preserve">earlier ANN surrogate under a comparable computational budget, and if so, of what</w:t>
      </w:r>
      <w:r>
        <w:t xml:space="preserve"> </w:t>
      </w:r>
      <w:r>
        <w:t xml:space="preserve">size? Answering it would require full-text extraction from both papers rather than</w:t>
      </w:r>
      <w:r>
        <w:t xml:space="preserve"> </w:t>
      </w:r>
      <w:r>
        <w:t xml:space="preserve">the abstract-level record currently held, and is flagged in §13 as a specific,</w:t>
      </w:r>
      <w:r>
        <w:t xml:space="preserve"> </w:t>
      </w:r>
      <w:r>
        <w:t xml:space="preserve">tractable next step rather than a general aspiration.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46"/>
    <w:bookmarkStart w:id="51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(international roughness index, rutting,</w:t>
      </w:r>
      <w:r>
        <w:t xml:space="preserve"> </w:t>
      </w:r>
      <w:r>
        <w:t xml:space="preserve">cracking, faulting, remaining service life) is the sub-domain most heavily dependent</w:t>
      </w:r>
      <w:r>
        <w:t xml:space="preserve"> </w:t>
      </w:r>
      <w:r>
        <w:t xml:space="preserve">on the Long-Term Pavement Performance (LTPP) database in the seed corpus, and</w:t>
      </w:r>
      <w:r>
        <w:t xml:space="preserve"> </w:t>
      </w:r>
      <w:r>
        <w:t xml:space="preserve">correspondingly the sub-domain where the near-duplicate-substrate problem named in</w:t>
      </w:r>
      <w:r>
        <w:t xml:space="preserve"> </w:t>
      </w:r>
      <w:r>
        <w:t xml:space="preserve">the review methodology is most concrete rather than abstract. A single overlapping</w:t>
      </w:r>
      <w:r>
        <w:t xml:space="preserve"> </w:t>
      </w:r>
      <w:r>
        <w:t xml:space="preserve">author team, Alnaqbi, Zeiada and Al-Khateeb, joined variously by Abuzwidah, Hamad and</w:t>
      </w:r>
      <w:r>
        <w:t xml:space="preserve"> </w:t>
      </w:r>
      <w:r>
        <w:t xml:space="preserve">Barakat across different papers, has published at least nine studies located so far,</w:t>
      </w:r>
      <w:r>
        <w:t xml:space="preserve"> </w:t>
      </w:r>
      <w:r>
        <w:t xml:space="preserve">all drawing on what appears to be the same approximately 33-section,</w:t>
      </w:r>
      <w:r>
        <w:t xml:space="preserve"> </w:t>
      </w:r>
      <w:r>
        <w:t xml:space="preserve">385–395-observation continuously-reinforced-concrete-pavement substrate from LTPP.</w:t>
      </w:r>
      <w:r>
        <w:t xml:space="preserve"> </w:t>
      </w:r>
      <w:r>
        <w:t xml:space="preserve">Each pairs a different metaheuristic (chiefly PSO or a genetic algorithm) with a</w:t>
      </w:r>
      <w:r>
        <w:t xml:space="preserve"> </w:t>
      </w:r>
      <w:r>
        <w:t xml:space="preserve">different base learner (chiefly SVR or a gradient boosting machine) to predict a</w:t>
      </w:r>
      <w:r>
        <w:t xml:space="preserve"> </w:t>
      </w:r>
      <w:r>
        <w:t xml:space="preserve">different single target variable: international roughness index</w:t>
      </w:r>
      <w:r>
        <w:t xml:space="preserve"> </w:t>
      </w:r>
      <w:r>
        <w:t xml:space="preserve">(Alnaqbi et al., 2025f, 2025e, 2025a)</w:t>
      </w:r>
      <w:r>
        <w:t xml:space="preserve">, longitudinal cracking</w:t>
      </w:r>
      <w:r>
        <w:t xml:space="preserve"> </w:t>
      </w:r>
      <w:r>
        <w:t xml:space="preserve">(A. Alnaqbi et al., 2026, 2025b; Alnaqbi et al., 2025d)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(A. J. 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. Each is reported as a separate publication, each is</w:t>
      </w:r>
      <w:r>
        <w:t xml:space="preserve"> </w:t>
      </w:r>
      <w:r>
        <w:t xml:space="preserve">evaluated by five-fold cross-validation, and each reports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</w:t>
      </w:r>
      <w:r>
        <w:t xml:space="preserve"> </w:t>
      </w:r>
      <w:r>
        <w:t xml:space="preserve">range. Three pairs within this set differ from one another only in which</w:t>
      </w:r>
      <w:r>
        <w:t xml:space="preserve"> </w:t>
      </w:r>
      <w:r>
        <w:t xml:space="preserve">metaheuristic tunes the same base learner, or which base learner the same</w:t>
      </w:r>
      <w:r>
        <w:t xml:space="preserve"> </w:t>
      </w:r>
      <w:r>
        <w:t xml:space="preserve">metaheuristic tunes,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(PSO-GBM),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and</w:t>
      </w:r>
      <w:r>
        <w:t xml:space="preserve"> </w:t>
      </w:r>
      <w:r>
        <w:t xml:space="preserve">A. Alnaqbi et al. (2026)</w:t>
      </w:r>
      <w:r>
        <w:t xml:space="preserve"> </w:t>
      </w:r>
      <w:r>
        <w:t xml:space="preserve">(PSO-SVR) all predict 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</w:t>
      </w:r>
      <w:r>
        <w:t xml:space="preserve"> </w:t>
      </w:r>
      <w:r>
        <w:t xml:space="preserve">on what the papers describe as the identical 395-observation, 33-section pool. The</w:t>
      </w:r>
      <w:r>
        <w:t xml:space="preserve"> </w:t>
      </w:r>
      <w:r>
        <w:t xml:space="preserve">most recent addition,</w:t>
      </w:r>
      <w:r>
        <w:t xml:space="preserve"> </w:t>
      </w:r>
      <w:r>
        <w:t xml:space="preserve">A. Alnaqbi et al. (2026)</w:t>
      </w:r>
      <w:r>
        <w:t xml:space="preserve">, is inferred to belong to the same series</w:t>
      </w:r>
      <w:r>
        <w:t xml:space="preserve"> </w:t>
      </w:r>
      <w:r>
        <w:t xml:space="preserve">on topical and authorship grounds (the same three authors, the same rigid-pavement</w:t>
      </w:r>
      <w:r>
        <w:t xml:space="preserve"> </w:t>
      </w:r>
      <w:r>
        <w:t xml:space="preserve">cracking target, the same optimiser-learner coupling pattern) rather than confirmed</w:t>
      </w:r>
      <w:r>
        <w:t xml:space="preserve"> </w:t>
      </w:r>
      <w:r>
        <w:t xml:space="preserve">against its own data section, which full-text reading would be needed to settle with</w:t>
      </w:r>
      <w:r>
        <w:t xml:space="preserve"> </w:t>
      </w:r>
      <w:r>
        <w:t xml:space="preserve">certainty.</w:t>
      </w:r>
    </w:p>
    <w:p>
      <w:pPr>
        <w:pStyle w:val="BodyText"/>
      </w:pPr>
      <w:r>
        <w:t xml:space="preserve">None of this is concealed.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 undiscussed.</w:t>
      </w:r>
      <w:r>
        <w:t xml:space="preserve"> </w:t>
      </w:r>
      <w:r>
        <w:t xml:space="preserve">Full-text verification of the first two published members of the 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 merely</w:t>
      </w:r>
      <w:r>
        <w:t xml:space="preserve"> </w:t>
      </w:r>
      <w:r>
        <w:t xml:space="preserve">suspects the leakage concern, and confirms it identically in both papers rather than</w:t>
      </w:r>
      <w:r>
        <w:t xml:space="preserve"> </w:t>
      </w:r>
      <w:r>
        <w:t xml:space="preserve">once. The first states its partitioning plainly as</w:t>
      </w:r>
      <w:r>
        <w:t xml:space="preserve"> </w:t>
      </w:r>
      <w:r>
        <w:t xml:space="preserve">“the dataset was split into 5</w:t>
      </w:r>
      <w:r>
        <w:t xml:space="preserve"> </w:t>
      </w:r>
      <w:r>
        <w:t xml:space="preserve">subsets, and the model was trained and tested 5 times, each time using a different</w:t>
      </w:r>
      <w:r>
        <w:t xml:space="preserve"> </w:t>
      </w:r>
      <w:r>
        <w:t xml:space="preserve">subset as the test set and the remaining subsets as the training set”</w:t>
      </w:r>
      <w:r>
        <w:t xml:space="preserve">; the second,</w:t>
      </w:r>
      <w:r>
        <w:t xml:space="preserve"> </w:t>
      </w:r>
      <w:r>
        <w:t xml:space="preserve">on a different target variable but the identical 395-observation, 33-section</w:t>
      </w:r>
      <w:r>
        <w:t xml:space="preserve"> </w:t>
      </w:r>
      <w:r>
        <w:t xml:space="preserve">substrate, states it just as plainly as</w:t>
      </w:r>
      <w:r>
        <w:t xml:space="preserve"> </w:t>
      </w:r>
      <w:r>
        <w:t xml:space="preserve">“five equal-sized subsets were randomly</w:t>
      </w:r>
      <w:r>
        <w:t xml:space="preserve"> </w:t>
      </w:r>
      <w:r>
        <w:t xml:space="preserve">selected from the dataset… the training and testing subsets were switched around</w:t>
      </w:r>
      <w:r>
        <w:t xml:space="preserve"> </w:t>
      </w:r>
      <w:r>
        <w:t xml:space="preserve">in each iteration.”</w:t>
      </w:r>
      <w:r>
        <w:t xml:space="preserve"> </w:t>
      </w:r>
      <w:r>
        <w:t xml:space="preserve">Both are random splits at the observation level, and neither</w:t>
      </w:r>
      <w:r>
        <w:t xml:space="preserve"> </w:t>
      </w:r>
      <w:r>
        <w:t xml:space="preserve">methods section, read in full rather than excerpted, mentions grouping by the 33</w:t>
      </w:r>
      <w:r>
        <w:t xml:space="preserve"> </w:t>
      </w:r>
      <w:r>
        <w:t xml:space="preserve">physical CRCP sections the observations are drawn from. With roughly twelve</w:t>
      </w:r>
      <w:r>
        <w:t xml:space="preserve"> </w:t>
      </w:r>
      <w:r>
        <w:t xml:space="preserve">observations per section on average, an ungrouped random split places multiple,</w:t>
      </w:r>
      <w:r>
        <w:t xml:space="preserve"> </w:t>
      </w:r>
      <w:r>
        <w:t xml:space="preserve">highly correlated records from the same physical section on both sides of most</w:t>
      </w:r>
      <w:r>
        <w:t xml:space="preserve"> </w:t>
      </w:r>
      <w:r>
        <w:t xml:space="preserve">folds: precisely the leakage pathway the 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</w:t>
      </w:r>
      <w:r>
        <w:t xml:space="preserve"> </w:t>
      </w:r>
      <w:r>
        <w:t xml:space="preserve">written to catch. Both papers’</w:t>
      </w:r>
      <w:r>
        <w:t xml:space="preserve"> </w:t>
      </w:r>
      <w:r>
        <w:t xml:space="preserve">own Limitations or Future Directions sections</w:t>
      </w:r>
      <w:r>
        <w:t xml:space="preserve"> </w:t>
      </w:r>
      <w:r>
        <w:t xml:space="preserve">separately confirm the absence of external validation in their own words (the first</w:t>
      </w:r>
      <w:r>
        <w:t xml:space="preserve"> </w:t>
      </w:r>
      <w:r>
        <w:t xml:space="preserve">stating outright that</w:t>
      </w:r>
      <w:r>
        <w:t xml:space="preserve"> </w:t>
      </w:r>
      <w:r>
        <w:t xml:space="preserve">“no 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work), which</w:t>
      </w:r>
      <w:r>
        <w:t xml:space="preserve"> </w:t>
      </w:r>
      <w:r>
        <w:t xml:space="preserve">independently 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</w:t>
      </w:r>
      <w:r>
        <w:t xml:space="preserve"> </w:t>
      </w:r>
      <w:r>
        <w:t xml:space="preserve">§2.3 twice over, rather than by the silence-as-absence convention alone. One detail</w:t>
      </w:r>
      <w:r>
        <w:t xml:space="preserve"> </w:t>
      </w:r>
      <w:r>
        <w:t xml:space="preserve">is worth noting for what it reveals about how such concerns are currently addressed</w:t>
      </w:r>
      <w:r>
        <w:t xml:space="preserve"> </w:t>
      </w:r>
      <w:r>
        <w:t xml:space="preserve">in this 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(0.02791–0.06422). But fold-to-fold consistency is not evidence against the leakage</w:t>
      </w:r>
      <w:r>
        <w:t xml:space="preserve"> </w:t>
      </w:r>
      <w:r>
        <w:t xml:space="preserve">pathway just described, since every fold would share the same section-level</w:t>
      </w:r>
      <w:r>
        <w:t xml:space="preserve"> </w:t>
      </w:r>
      <w:r>
        <w:t xml:space="preserve">contamination and so would be expected to perform similarly whether or not the model</w:t>
      </w:r>
      <w:r>
        <w:t xml:space="preserve"> </w:t>
      </w:r>
      <w:r>
        <w:t xml:space="preserve">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makes the mechanism concrete:</w:t>
      </w:r>
      <w:r>
        <w:t xml:space="preserve"> </w:t>
      </w:r>
      <w:r>
        <w:t xml:space="preserve">with roughly twelve observations per section, an ungrouped random assignment (Panel</w:t>
      </w:r>
      <w:r>
        <w:t xml:space="preserve"> </w:t>
      </w:r>
      <w:r>
        <w:t xml:space="preserve">A) all but guarantees that most sections contribute records to more than one fold,</w:t>
      </w:r>
      <w:r>
        <w:t xml:space="preserve"> </w:t>
      </w:r>
      <w:r>
        <w:t xml:space="preserve">so a model can be trained on 10–11 of a 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12th, a near-duplicate, spatially correlated record rather than a genuinely</w:t>
      </w:r>
      <w:r>
        <w:t xml:space="preserve"> </w:t>
      </w:r>
      <w:r>
        <w:t xml:space="preserve">unseen one. A section-grouped assignment (Panel B), which the reviewed papers’</w:t>
      </w:r>
      <w:r>
        <w:t xml:space="preserve"> </w:t>
      </w:r>
      <w:r>
        <w:t xml:space="preserve">methods sections do not describe using, holds each section entirely within one fold,</w:t>
      </w:r>
      <w:r>
        <w:t xml:space="preserve"> </w:t>
      </w:r>
      <w:r>
        <w:t xml:space="preserve">so the test fold contains no 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50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 own</w:t>
      </w:r>
      <w:r>
        <w:t xml:space="preserve"> </w:t>
      </w:r>
      <w:r>
        <w:t xml:space="preserve">ambiguity definitively. The paper’s Boruta feature-selection step is performed in</w:t>
      </w:r>
      <w:r>
        <w:t xml:space="preserve"> </w:t>
      </w:r>
      <w:r>
        <w:t xml:space="preserve">Section 3 (</w:t>
      </w:r>
      <w:r>
        <w:t xml:space="preserve">“Data Preparation”</w:t>
      </w:r>
      <w:r>
        <w:t xml:space="preserve">), applied to the full 160-observation pool, and only</w:t>
      </w:r>
      <w:r>
        <w:t xml:space="preserve"> </w:t>
      </w:r>
      <w:r>
        <w:t xml:space="preserve">in Section 4 (</w:t>
      </w:r>
      <w:r>
        <w:t xml:space="preserve">“Model Construction”</w:t>
      </w:r>
      <w:r>
        <w:t xml:space="preserve">) does an 80/20 train-test split appear, meaning</w:t>
      </w:r>
      <w:r>
        <w:t xml:space="preserve"> </w:t>
      </w:r>
      <w:r>
        <w:t xml:space="preserve">Boruta selected the six variables the final model uses with the benefit of</w:t>
      </w:r>
      <w:r>
        <w:t xml:space="preserve"> </w:t>
      </w:r>
      <w:r>
        <w:t xml:space="preserve">information from what later became the test partition. This is a different leakage</w:t>
      </w:r>
      <w:r>
        <w:t xml:space="preserve"> </w:t>
      </w:r>
      <w:r>
        <w:t xml:space="preserve">mechanism from the CRCP series above: a real held-out test set exists here,</w:t>
      </w:r>
      <w:r>
        <w:t xml:space="preserve"> </w:t>
      </w:r>
      <w:r>
        <w:t xml:space="preserve">contaminated only by feature selection performed before the split, rather than an</w:t>
      </w:r>
      <w:r>
        <w:t xml:space="preserve"> </w:t>
      </w:r>
      <w:r>
        <w:t xml:space="preserve">entirely ungrouped cross-validation. The paper’s own conclusion attributes part of</w:t>
      </w:r>
      <w:r>
        <w:t xml:space="preserve"> </w:t>
      </w:r>
      <w:r>
        <w:t xml:space="preserve">its headline result directly to the contaminated step, reporting that the</w:t>
      </w:r>
      <w:r>
        <w:t xml:space="preserve"> </w:t>
      </w:r>
      <w:r>
        <w:t xml:space="preserve">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 version,</w:t>
      </w:r>
      <w:r>
        <w:t xml:space="preserve"> </w:t>
      </w:r>
      <w:r>
        <w:t xml:space="preserve">“attributed to the capability of Boruta to identify relevant variables.”</w:t>
      </w:r>
      <w:r>
        <w:t xml:space="preserve"> </w:t>
      </w:r>
      <w:r>
        <w:t xml:space="preserve">The two</w:t>
      </w:r>
      <w:r>
        <w:t xml:space="preserve"> </w:t>
      </w:r>
      <w:r>
        <w:t xml:space="preserve">mechanisms, read together, make the point this review is built to make more</w:t>
      </w:r>
      <w:r>
        <w:t xml:space="preserve"> </w:t>
      </w:r>
      <w:r>
        <w:t xml:space="preserve">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 catches structurally</w:t>
      </w:r>
      <w:r>
        <w:t xml:space="preserve"> </w:t>
      </w:r>
      <w:r>
        <w:t xml:space="preserve">different failures (no partition grouping in one case, preprocessing fitted before</w:t>
      </w:r>
      <w:r>
        <w:t xml:space="preserve"> </w:t>
      </w:r>
      <w:r>
        <w:t xml:space="preserve">the partition in the other) under a single item, which is exactly why the item is</w:t>
      </w:r>
      <w:r>
        <w:t xml:space="preserve"> </w:t>
      </w:r>
      <w:r>
        <w:t xml:space="preserve">framed around the outcome (does information from the test set influence training)</w:t>
      </w:r>
      <w:r>
        <w:t xml:space="preserve"> </w:t>
      </w:r>
      <w:r>
        <w:t xml:space="preserve">rather than around one specific mechanism. A citation search while verifying this</w:t>
      </w:r>
      <w:r>
        <w:t xml:space="preserve"> </w:t>
      </w:r>
      <w:r>
        <w:t xml:space="preserve">paper separately surfaced a second, seemingly independent overlapping-author</w:t>
      </w:r>
      <w:r>
        <w:t xml:space="preserve"> </w:t>
      </w:r>
      <w:r>
        <w:t xml:space="preserve">cluster: Wang, Xiao and Liu</w:t>
      </w:r>
      <w:r>
        <w:t xml:space="preserve"> </w:t>
      </w:r>
      <w:r>
        <w:t xml:space="preserve">(Wang et al., 2023)</w:t>
      </w:r>
      <w:r>
        <w:t xml:space="preserve">, sharing two of the same three</w:t>
      </w:r>
      <w:r>
        <w:t xml:space="preserve"> </w:t>
      </w:r>
      <w:r>
        <w:t xml:space="preserve">surnames as the TPE-CatBoost paper, publishing a separate improved-XGBoost model</w:t>
      </w:r>
      <w:r>
        <w:t xml:space="preserve"> </w:t>
      </w:r>
      <w:r>
        <w:t xml:space="preserve">for rigid pavement IRI on what appears to be a related LTPP substrate. Whether this</w:t>
      </w:r>
      <w:r>
        <w:t xml:space="preserve"> </w:t>
      </w:r>
      <w:r>
        <w:t xml:space="preserve">reflects</w:t>
      </w:r>
      <w:r>
        <w:t xml:space="preserve"> </w:t>
      </w:r>
      <w:r>
        <w:t xml:space="preserve">a second, independent instance of the single-target-per-paper pattern, or</w:t>
      </w:r>
      <w:r>
        <w:t xml:space="preserve"> </w:t>
      </w:r>
      <w:r>
        <w:t xml:space="preserve">overlapping personnel with the first cluster, is not resolved by this review’s</w:t>
      </w:r>
      <w:r>
        <w:t xml:space="preserve"> </w:t>
      </w:r>
      <w:r>
        <w:t xml:space="preserve">corpus and is flagged in §13 as a specific question a wider, full-text-verified</w:t>
      </w:r>
      <w:r>
        <w:t xml:space="preserve"> </w:t>
      </w:r>
      <w:r>
        <w:t xml:space="preserve">sweep could settle.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large enough —</w:t>
      </w:r>
      <w:r>
        <w:t xml:space="preserve"> </w:t>
      </w:r>
      <w:r>
        <w:t xml:space="preserve">nine identified papers, two of them full-text-confirmed rather than only</w:t>
      </w:r>
      <w:r>
        <w:t xml:space="preserve"> </w:t>
      </w:r>
      <w:r>
        <w:t xml:space="preserve">abstract-flagged — that this review can report a systematic, partly-verified</w:t>
      </w:r>
      <w:r>
        <w:t xml:space="preserve"> </w:t>
      </w:r>
      <w:r>
        <w:t xml:space="preserve">finding rather than gesture at a concern: of the two papers read in full, both</w:t>
      </w:r>
      <w:r>
        <w:t xml:space="preserve"> </w:t>
      </w:r>
      <w:r>
        <w:t xml:space="preserve">use an ungrouped observation-level split on the shared substrate, which is</w:t>
      </w:r>
      <w:r>
        <w:t xml:space="preserve"> </w:t>
      </w:r>
      <w:r>
        <w:t xml:space="preserve">already sufficient to establish that the pattern is real and not merely a</w:t>
      </w:r>
      <w:r>
        <w:t xml:space="preserve"> </w:t>
      </w:r>
      <w:r>
        <w:t xml:space="preserve">plausible-sounding hypothesis, even though the remaining seven papers in the</w:t>
      </w:r>
      <w:r>
        <w:t xml:space="preserve"> </w:t>
      </w:r>
      <w:r>
        <w:t xml:space="preserve">series have not yet been read with the same care. Second, the pattern usefully</w:t>
      </w:r>
      <w:r>
        <w:t xml:space="preserve"> </w:t>
      </w:r>
      <w:r>
        <w:t xml:space="preserve">illustrates a broader point this review returns to in §11: an unlimited supply of</w:t>
      </w:r>
      <w:r>
        <w:t xml:space="preserve"> </w:t>
      </w:r>
      <w:r>
        <w:t xml:space="preserve">near-identical papers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</w:t>
      </w:r>
      <w:r>
        <w:t xml:space="preserve"> </w:t>
      </w:r>
      <w:r>
        <w:t xml:space="preserve">physical objects, whatever its cause, produces exactly the appearance of a mature</w:t>
      </w:r>
      <w:r>
        <w:t xml:space="preserve"> </w:t>
      </w:r>
      <w:r>
        <w:t xml:space="preserve">and thoroughly validated 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51"/>
    <w:bookmarkStart w:id="52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 This asymmetry is worth naming plainly rather than only</w:t>
      </w:r>
      <w:r>
        <w:t xml:space="preserve"> </w:t>
      </w:r>
      <w:r>
        <w:t xml:space="preserve">implying: H1 (37</w:t>
      </w:r>
      <w:r>
        <w:t xml:space="preserve"> </w:t>
      </w:r>
      <w:r>
        <w:t xml:space="preserve">primary studies, §3/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) is substantially better sampled than H3, H4, H5</w:t>
      </w:r>
      <w:r>
        <w:t xml:space="preserve"> </w:t>
      </w:r>
      <w:r>
        <w:t xml:space="preserve">or H6 individually</w:t>
      </w:r>
      <w:r>
        <w:t xml:space="preserve"> </w:t>
      </w:r>
      <w:r>
        <w:t xml:space="preserve">(4–11</w:t>
      </w:r>
      <w:r>
        <w:t xml:space="preserve"> </w:t>
      </w:r>
      <w:r>
        <w:t xml:space="preserve">records each), partly because the field genuinely produces more H1 studies and</w:t>
      </w:r>
      <w:r>
        <w:t xml:space="preserve"> </w:t>
      </w:r>
      <w:r>
        <w:t xml:space="preserve">partly because H1 and H7 titles are unusually easy to find and code with</w:t>
      </w:r>
      <w:r>
        <w:t xml:space="preserve"> </w:t>
      </w:r>
      <w:r>
        <w:t xml:space="preserve">confidence from a title alone (§2.3), which biases what an algorithm-driven search</w:t>
      </w:r>
      <w:r>
        <w:t xml:space="preserve"> </w:t>
      </w:r>
      <w:r>
        <w:t xml:space="preserve">protocol surfaces first. The characteristic-failure-mode claims made below for</w:t>
      </w:r>
      <w:r>
        <w:t xml:space="preserve"> </w:t>
      </w:r>
      <w:r>
        <w:t xml:space="preserve">H3–H7 are drawn from real, verified records, not fabricated, but a claim resting on</w:t>
      </w:r>
      <w:r>
        <w:t xml:space="preserve"> </w:t>
      </w:r>
      <w:r>
        <w:t xml:space="preserve">a handful of records carries less evidentiary weight than one resting on several</w:t>
      </w:r>
      <w:r>
        <w:t xml:space="preserve"> </w:t>
      </w:r>
      <w:r>
        <w:t xml:space="preserve">dozen, and is presented accordingly: as a documented pattern within a substantial</w:t>
      </w:r>
      <w:r>
        <w:t xml:space="preserve"> </w:t>
      </w:r>
      <w:r>
        <w:t xml:space="preserve">but not exhaustive sample, not as a settled distributional fact about the field as</w:t>
      </w:r>
      <w:r>
        <w:t xml:space="preserve"> </w:t>
      </w:r>
      <w:r>
        <w:t xml:space="preserve">a whole.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52"/>
    <w:bookmarkStart w:id="57" w:name="sec-premium"/>
    <w:p>
      <w:pPr>
        <w:pStyle w:val="Heading1"/>
      </w:pPr>
      <w:r>
        <w:t xml:space="preserve">9. The hybridisation premium</w:t>
      </w:r>
    </w:p>
    <w:bookmarkStart w:id="53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p>
      <w:pPr>
        <w:pStyle w:val="BodyText"/>
      </w:pPr>
      <w:r>
        <w:rPr>
          <w:b/>
          <w:bCs/>
        </w:rPr>
        <w:t xml:space="preserve">Operationalising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“comparable evaluation budget.”</w:t>
      </w:r>
      <w:r>
        <w:t xml:space="preserve"> </w:t>
      </w:r>
      <w:r>
        <w:t xml:space="preserve">A grid search, a random</w:t>
      </w:r>
      <w:r>
        <w:t xml:space="preserve"> </w:t>
      </w:r>
      <w:r>
        <w:t xml:space="preserve">search and a population-based metaheuristic (PSO, GA, and the many named variants</w:t>
      </w:r>
      <w:r>
        <w:t xml:space="preserve"> </w:t>
      </w:r>
      <w:r>
        <w:t xml:space="preserve">in §4) do not share an obvious common unit — a grid search has no generations, a</w:t>
      </w:r>
      <w:r>
        <w:t xml:space="preserve"> </w:t>
      </w:r>
      <w:r>
        <w:t xml:space="preserve">metaheuristic has no grid resolution. The unit this review uses is the one</w:t>
      </w:r>
      <w:r>
        <w:t xml:space="preserve"> </w:t>
      </w:r>
      <w:r>
        <w:t xml:space="preserve">quantity every search strategy actually shares:</w:t>
      </w:r>
      <w:r>
        <w:t xml:space="preserve"> </w:t>
      </w:r>
      <w:r>
        <w:rPr>
          <w:b/>
          <w:bCs/>
        </w:rPr>
        <w:t xml:space="preserve">the number of times the base</w:t>
      </w:r>
      <w:r>
        <w:rPr>
          <w:b/>
          <w:bCs/>
        </w:rPr>
        <w:t xml:space="preserve"> </w:t>
      </w:r>
      <w:r>
        <w:rPr>
          <w:b/>
          <w:bCs/>
        </w:rPr>
        <w:t xml:space="preserve">learner itself is trained and evaluated during the search</w:t>
      </w:r>
      <w:r>
        <w:t xml:space="preserve"> </w:t>
      </w:r>
      <w:r>
        <w:t xml:space="preserve">— total grid points</w:t>
      </w:r>
      <w:r>
        <w:t xml:space="preserve"> </w:t>
      </w:r>
      <w:r>
        <w:t xml:space="preserve">for a grid search, total random draws for a random search, population size ×</w:t>
      </w:r>
      <w:r>
        <w:t xml:space="preserve"> </w:t>
      </w:r>
      <w:r>
        <w:t xml:space="preserve">number of generations (or the paper’s own reported total function-evaluation</w:t>
      </w:r>
      <w:r>
        <w:t xml:space="preserve"> </w:t>
      </w:r>
      <w:r>
        <w:t xml:space="preserve">count) for a metaheuristic. Two arms are treated as budget-comparable when their</w:t>
      </w:r>
      <w:r>
        <w:t xml:space="preserve"> </w:t>
      </w:r>
      <w:r>
        <w:t xml:space="preserve">base-learner training-and-evaluation counts are within the same order of</w:t>
      </w:r>
      <w:r>
        <w:t xml:space="preserve"> </w:t>
      </w:r>
      <w:r>
        <w:t xml:space="preserve">magnitude; wall-clock time is used as a secondary check where reported, since it</w:t>
      </w:r>
      <w:r>
        <w:t xml:space="preserve"> </w:t>
      </w:r>
      <w:r>
        <w:t xml:space="preserve">can diverge from the evaluation count when the optimiser itself carries</w:t>
      </w:r>
      <w:r>
        <w:t xml:space="preserve"> </w:t>
      </w:r>
      <w:r>
        <w:t xml:space="preserve">non-trivial overhead. This is also what PAVE-ML item 12b (§12) asks studies to</w:t>
      </w:r>
      <w:r>
        <w:t xml:space="preserve"> </w:t>
      </w:r>
      <w:r>
        <w:t xml:space="preserve">report directly, so that this determination does not have to be inferred</w:t>
      </w:r>
      <w:r>
        <w:t xml:space="preserve"> </w:t>
      </w:r>
      <w:r>
        <w:t xml:space="preserve">indirectly from a paper’s stated hyperparameter ranges. A study that tunes the</w:t>
      </w:r>
      <w:r>
        <w:t xml:space="preserve"> </w:t>
      </w:r>
      <w:r>
        <w:t xml:space="preserve">hybrid arm exhaustively while leaving the baseline arm at library-default</w:t>
      </w:r>
      <w:r>
        <w:t xml:space="preserve"> </w:t>
      </w:r>
      <w:r>
        <w:t xml:space="preserve">settings fails this test regardless of which search algorithm names appear in its</w:t>
      </w:r>
      <w:r>
        <w:t xml:space="preserve"> </w:t>
      </w:r>
      <w:r>
        <w:t xml:space="preserve">title — the H1/H2 failure mode both the taxonomy in §4 and the evidence in §9.3</w:t>
      </w:r>
      <w:r>
        <w:t xml:space="preserve"> </w:t>
      </w:r>
      <w:r>
        <w:t xml:space="preserve">keep surfacing.</w:t>
      </w:r>
    </w:p>
    <w:bookmarkEnd w:id="53"/>
    <w:bookmarkStart w:id="54" w:name="coding-scheme-for-premium-evidence"/>
    <w:p>
      <w:pPr>
        <w:pStyle w:val="Heading2"/>
      </w:pPr>
      <w:r>
        <w:t xml:space="preserve">9.2 Coding scheme for premium evidence</w:t>
      </w:r>
    </w:p>
    <w:p>
      <w:pPr>
        <w:pStyle w:val="FirstParagraph"/>
      </w:pPr>
      <w:r>
        <w:t xml:space="preserve">Every H1 or H2 study in the corpus is coded against three fields, specified in full</w:t>
      </w:r>
      <w:r>
        <w:t xml:space="preserve"> </w:t>
      </w:r>
      <w:r>
        <w:t xml:space="preserve">with worked examples in the PAVE-ML instrument (§12) and fixed before coding began</w:t>
      </w:r>
      <w:r>
        <w:t xml:space="preserve"> </w:t>
      </w:r>
      <w:r>
        <w:t xml:space="preserve">so that later readings could not drift toward a preferred answer: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computable at all under the definition above (</w:t>
      </w:r>
      <w:r>
        <w:rPr>
          <w:rStyle w:val="VerbatimChar"/>
        </w:rPr>
        <w:t xml:space="preserve">premium_computable</w:t>
      </w:r>
      <w:r>
        <w:t xml:space="preserve">); its value where</w:t>
      </w:r>
      <w:r>
        <w:t xml:space="preserve"> </w:t>
      </w:r>
      <w:r>
        <w:t xml:space="preserve">it is; whether the search budget was stated for both the hybrid and the baseline arm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budget_parity_reported</w:t>
      </w:r>
      <w:r>
        <w:t xml:space="preserve">); and, where a newly named optimiser is the paper’s own</w:t>
      </w:r>
      <w:r>
        <w:t xml:space="preserve"> </w:t>
      </w:r>
      <w:r>
        <w:t xml:space="preserve">contribution, whether it was benchmarked against at least two established optimisers</w:t>
      </w:r>
      <w:r>
        <w:t xml:space="preserve"> </w:t>
      </w:r>
      <w:r>
        <w:t xml:space="preserve">on the same problem (</w:t>
      </w:r>
      <w:r>
        <w:rPr>
          <w:rStyle w:val="VerbatimChar"/>
        </w:rPr>
        <w:t xml:space="preserve">optimiser_novelty_claim</w:t>
      </w:r>
      <w:r>
        <w:t xml:space="preserve">).</w:t>
      </w:r>
    </w:p>
    <w:bookmarkEnd w:id="54"/>
    <w:bookmarkStart w:id="56" w:name="evidence-from-the-coded-corpus"/>
    <w:p>
      <w:pPr>
        <w:pStyle w:val="Heading2"/>
      </w:pPr>
      <w:r>
        <w:t xml:space="preserve">9.3 Evidence from the coded corpus</w:t>
      </w:r>
    </w:p>
    <w:p>
      <w:pPr>
        <w:pStyle w:val="FirstParagraph"/>
      </w:pP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the within-paper comparisons in the corpus close</w:t>
      </w:r>
      <w:r>
        <w:t xml:space="preserve"> </w:t>
      </w:r>
      <w:r>
        <w:t xml:space="preserve">enough to a premium calculation to be directly informative, with every figure</w:t>
      </w:r>
      <w:r>
        <w:t xml:space="preserve"> </w:t>
      </w:r>
      <w:r>
        <w:t xml:space="preserve">copied verbatim from the source paper’s own reported results; none is computed or</w:t>
      </w:r>
      <w:r>
        <w:t xml:space="preserve"> </w:t>
      </w:r>
      <w:r>
        <w:t xml:space="preserve">estimated by this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1108"/>
              <w:gridCol w:w="633"/>
              <w:gridCol w:w="950"/>
              <w:gridCol w:w="950"/>
              <w:gridCol w:w="712"/>
              <w:gridCol w:w="1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 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 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 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56"/>
    <w:bookmarkEnd w:id="57"/>
    <w:bookmarkStart w:id="6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58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58"/>
    <w:bookmarkStart w:id="59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59"/>
    <w:bookmarkStart w:id="60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60"/>
    <w:bookmarkEnd w:id="61"/>
    <w:bookmarkStart w:id="6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 strong</w:t>
      </w:r>
      <w:r>
        <w:t xml:space="preserve"> </w:t>
      </w:r>
      <w:r>
        <w:t xml:space="preserve">candidate for being decision-irrelevant by this standard. Making that judgement</w:t>
      </w:r>
      <w:r>
        <w:t xml:space="preserve"> </w:t>
      </w:r>
      <w:r>
        <w:t xml:space="preserve">study by study, rather than asserting it in general, requires the kind of</w:t>
      </w:r>
      <w:r>
        <w:t xml:space="preserve"> </w:t>
      </w:r>
      <w:r>
        <w:t xml:space="preserve">domain-specific decision context (which treatment, at what accuracy threshold,</w:t>
      </w:r>
      <w:r>
        <w:t xml:space="preserve"> </w:t>
      </w:r>
      <w:r>
        <w:t xml:space="preserve">informed by which input) that most studies in this corpus do not state explicitly</w:t>
      </w:r>
      <w:r>
        <w:t xml:space="preserve"> </w:t>
      </w:r>
      <w:r>
        <w:t xml:space="preserve">enough to apply the Hosseini–Smadi or Georgouli–Plati–Loizos yardstick directly;</w:t>
      </w:r>
      <w:r>
        <w:t xml:space="preserve"> </w:t>
      </w:r>
      <w:r>
        <w:t xml:space="preserve">§13 identifies this systematically, rather than case by case, as a research-agenda</w:t>
      </w:r>
      <w:r>
        <w:t xml:space="preserve"> </w:t>
      </w:r>
      <w:r>
        <w:t xml:space="preserve">item in its own right.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62"/>
    <w:bookmarkStart w:id="64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Reliability of the instrument itself is treated as something to demonstrate, not</w:t>
      </w:r>
      <w:r>
        <w:t xml:space="preserve"> </w:t>
      </w:r>
      <w:r>
        <w:t xml:space="preserve">assume. A second coder, working directly from the raw papers and the PAVE-ML rubric</w:t>
      </w:r>
      <w:r>
        <w:t xml:space="preserve"> </w:t>
      </w:r>
      <w:r>
        <w:t xml:space="preserve">and blind to the codes already assigned, independently coded a pilot sample of the</w:t>
      </w:r>
      <w:r>
        <w:t xml:space="preserve"> </w:t>
      </w:r>
      <w:r>
        <w:t xml:space="preserve">corpus in randomised order, with the selection and blinding protocol documented in</w:t>
      </w:r>
      <w:r>
        <w:t xml:space="preserve"> </w:t>
      </w:r>
      <w:r>
        <w:t xml:space="preserve">full alongside the coding materials. The protocol specifies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field over a 15% double-coded sample, with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triggering a rewritten decision rule and a full recoding rather than a footnoted</w:t>
      </w:r>
      <w:r>
        <w:t xml:space="preserve"> </w:t>
      </w:r>
      <w:r>
        <w:t xml:space="preserve">caveat; reconciling the pilot against the existing codes and extending it to that</w:t>
      </w:r>
      <w:r>
        <w:t xml:space="preserve"> </w:t>
      </w:r>
      <w:r>
        <w:t xml:space="preserve">full sample is this review’s single highest-priority remaining methodological task,</w:t>
      </w:r>
      <w:r>
        <w:t xml:space="preserve"> </w:t>
      </w:r>
      <w:r>
        <w:t xml:space="preserve">named as such in §13, and the coding to date should be read accordingly as</w:t>
      </w:r>
      <w:r>
        <w:t xml:space="preserve"> </w:t>
      </w:r>
      <w:r>
        <w:t xml:space="preserve">single-reviewer with an independent check under way rather than as already</w:t>
      </w:r>
      <w:r>
        <w:t xml:space="preserve"> </w:t>
      </w:r>
      <w:r>
        <w:t xml:space="preserve">inter-rater-validated.</w:t>
      </w:r>
    </w:p>
    <w:bookmarkEnd w:id="64"/>
    <w:bookmarkStart w:id="65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corpus and the taxonomy built from it are sufficient to state a research agenda</w:t>
      </w:r>
      <w:r>
        <w:t xml:space="preserve"> </w:t>
      </w:r>
      <w:r>
        <w:t xml:space="preserve">now, ahead of the wider audit a larger corpus would support. Ten directions follow,</w:t>
      </w:r>
      <w:r>
        <w:t xml:space="preserve"> </w:t>
      </w:r>
      <w:r>
        <w:t xml:space="preserve">each stated as a testable question paired with the data and method that would settle</w:t>
      </w:r>
      <w:r>
        <w:t xml:space="preserve"> </w:t>
      </w:r>
      <w:r>
        <w:t xml:space="preserve">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baseline, at scale.</w:t>
      </w:r>
      <w:r>
        <w:t xml:space="preserve"> </w:t>
      </w:r>
      <w:r>
        <w:t xml:space="preserve">For every H1/H2 study reporting a hybrid</w:t>
      </w:r>
      <w:r>
        <w:t xml:space="preserve"> </w:t>
      </w:r>
      <w:r>
        <w:t xml:space="preserve">model, does the paper also report the same base learner tuned conventionally, on</w:t>
      </w:r>
      <w:r>
        <w:t xml:space="preserve"> </w:t>
      </w:r>
      <w:r>
        <w:t xml:space="preserve">the same partition and metric, under a comparable search budget? §9’s evidence,</w:t>
      </w:r>
      <w:r>
        <w:t xml:space="preserve"> </w:t>
      </w:r>
      <w:r>
        <w:t xml:space="preserve">drawn from the six within-paper comparisons close enough to test this directly,</w:t>
      </w:r>
      <w:r>
        <w:t xml:space="preserve"> </w:t>
      </w:r>
      <w:r>
        <w:t xml:space="preserve">suggests the answer is usually no; establishing how often across the full corpus</w:t>
      </w:r>
      <w:r>
        <w:t xml:space="preserve"> </w:t>
      </w:r>
      <w:r>
        <w:t xml:space="preserve">rather than this six-study sample is the natural next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nine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(§7), two of them full-text-confirmed to use an ungrouped split. A</w:t>
      </w:r>
      <w:r>
        <w:t xml:space="preserve"> </w:t>
      </w:r>
      <w:r>
        <w:t xml:space="preserve">systematic re-derivation, from the LTPP database directly, of whether each</w:t>
      </w:r>
      <w:r>
        <w:t xml:space="preserve"> </w:t>
      </w:r>
      <w:r>
        <w:t xml:space="preserve">remaining paper’s published cross-validation folds respect section-level</w:t>
      </w:r>
      <w:r>
        <w:t xml:space="preserve"> </w:t>
      </w:r>
      <w:r>
        <w:t xml:space="preserve">grouping would settle a question the other seven papers’ abstracts do not</w:t>
      </w:r>
      <w:r>
        <w:t xml:space="preserve"> </w:t>
      </w:r>
      <w:r>
        <w:t xml:space="preserve">answer, and is the single highest-value full-text verification task given how</w:t>
      </w:r>
      <w:r>
        <w:t xml:space="preserve"> </w:t>
      </w:r>
      <w:r>
        <w:t xml:space="preserve">much of the corpus’s rutting/cracking/IRI evidence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65"/>
    <w:bookmarkStart w:id="66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The four conclusions below are drawn from the 143 primary</w:t>
      </w:r>
      <w:r>
        <w:t xml:space="preserve"> </w:t>
      </w:r>
      <w:r>
        <w:t xml:space="preserve">studies coded to date, of which</w:t>
      </w:r>
      <w:r>
        <w:t xml:space="preserve"> </w:t>
      </w:r>
      <w:r>
        <w:t xml:space="preserve">103</w:t>
      </w:r>
      <w:r>
        <w:t xml:space="preserve"> </w:t>
      </w:r>
      <w:r>
        <w:t xml:space="preserve">meet the structural definition of hybridity in §2.3. They are stated with the</w:t>
      </w:r>
      <w:r>
        <w:t xml:space="preserve"> </w:t>
      </w:r>
      <w:r>
        <w:t xml:space="preserve">confidence this evidence base supports, and each is written so that the growing</w:t>
      </w:r>
      <w:r>
        <w:t xml:space="preserve"> </w:t>
      </w:r>
      <w:r>
        <w:t xml:space="preserve">corpus can confirm, sharpen, or revise it without the underlying argument needing</w:t>
      </w:r>
      <w:r>
        <w:t xml:space="preserve"> </w:t>
      </w:r>
      <w:r>
        <w:t xml:space="preserve">to be restructured.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was built as a</w:t>
      </w:r>
      <w:r>
        <w:t xml:space="preserve"> </w:t>
      </w:r>
      <w:r>
        <w:t xml:space="preserve">remedy, and the 2026 harvest quantifies the gap it was designed to close directly:</w:t>
      </w:r>
      <w:r>
        <w:t xml:space="preserve"> </w:t>
      </w:r>
      <w:r>
        <w:t xml:space="preserve">of 2,332 unique, pavement-gated records the algorithmic search returned, only 4.5%</w:t>
      </w:r>
      <w:r>
        <w:t xml:space="preserve"> </w:t>
      </w:r>
      <w:r>
        <w:t xml:space="preserve">contain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anywhere in title or abstract. A label-only search over</w:t>
      </w:r>
      <w:r>
        <w:t xml:space="preserve"> </w:t>
      </w:r>
      <w:r>
        <w:t xml:space="preserve">the same candidate pool would therefore have missed the large majority of records</w:t>
      </w:r>
      <w:r>
        <w:t xml:space="preserve"> </w:t>
      </w:r>
      <w:r>
        <w:t xml:space="preserve">an algorithm-name search retrieved — not a marginal undercount, but the dominant</w:t>
      </w:r>
      <w:r>
        <w:t xml:space="preserve"> </w:t>
      </w:r>
      <w:r>
        <w:t xml:space="preserve">mode of how this literature is actually written.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this review’s own instrument, PAVE-ML, is built to keep testing as</w:t>
      </w:r>
      <w:r>
        <w:t xml:space="preserve"> </w:t>
      </w:r>
      <w:r>
        <w:t xml:space="preserve">the corpus underlying it continues to grow.</w:t>
      </w:r>
    </w:p>
    <w:bookmarkEnd w:id="66"/>
    <w:bookmarkStart w:id="67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67"/>
    <w:bookmarkStart w:id="68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During the preparation of this work, the authors used Claude (Anthropic) to assist</w:t>
      </w:r>
      <w:r>
        <w:t xml:space="preserve"> </w:t>
      </w:r>
      <w:r>
        <w:t xml:space="preserve">with literature identification and screening (algorithmic query construction against</w:t>
      </w:r>
      <w:r>
        <w:t xml:space="preserve"> </w:t>
      </w:r>
      <w:r>
        <w:t xml:space="preserve">the eligibility criteria in §2.3, structural — not lexical — candidate screening),</w:t>
      </w:r>
      <w:r>
        <w:t xml:space="preserve"> </w:t>
      </w:r>
      <w:r>
        <w:t xml:space="preserve">construction and verification of the review database (every included record’s DOI</w:t>
      </w:r>
      <w:r>
        <w:t xml:space="preserve"> </w:t>
      </w:r>
      <w:r>
        <w:t xml:space="preserve">independently verified against the publisher record), and drafting of manuscript</w:t>
      </w:r>
      <w:r>
        <w:t xml:space="preserve"> </w:t>
      </w:r>
      <w:r>
        <w:t xml:space="preserve">text. After using this tool, the authors reviewed and edited the output as needed</w:t>
      </w:r>
      <w:r>
        <w:t xml:space="preserve"> </w:t>
      </w:r>
      <w:r>
        <w:t xml:space="preserve">and take full responsibility for the content of this publication.</w:t>
      </w:r>
    </w:p>
    <w:bookmarkEnd w:id="68"/>
    <w:bookmarkStart w:id="7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hyperlink r:id="rId69">
        <w:r>
          <w:rPr>
            <w:rStyle w:val="Hyperlink"/>
          </w:rPr>
          <w:t xml:space="preserve">https://github.com/sabernaseralavi-60/Does-Hybridisation-Pay-A-Systematic-Review-of-Hybrids-in-Pavement-Engineering</w:t>
        </w:r>
      </w:hyperlink>
      <w:r>
        <w:t xml:space="preserve">.</w:t>
      </w:r>
    </w:p>
    <w:bookmarkEnd w:id="70"/>
    <w:bookmarkStart w:id="212" w:name="references"/>
    <w:p>
      <w:pPr>
        <w:pStyle w:val="Heading1"/>
      </w:pPr>
      <w:r>
        <w:t xml:space="preserve">References</w:t>
      </w:r>
    </w:p>
    <w:bookmarkStart w:id="211" w:name="refs"/>
    <w:bookmarkStart w:id="72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https://doi.org/10.1109/access.2022.3196660</w:t>
        </w:r>
      </w:hyperlink>
    </w:p>
    <w:bookmarkEnd w:id="72"/>
    <w:bookmarkStart w:id="74" w:name="ref-Alnaqbi2026approach"/>
    <w:p>
      <w:pPr>
        <w:pStyle w:val="Bibliography"/>
      </w:pPr>
      <w:r>
        <w:t xml:space="preserve">Alnaqbi, A., Al-Khateeb, G.G., Zeiada, W., 2026. A hybrid approach of support vector regression with particle swarm optimization for predicting longitudinal cracking in rigid pavement. International Journal of Pavement Research and Technology.</w:t>
      </w:r>
      <w:r>
        <w:t xml:space="preserve"> </w:t>
      </w:r>
      <w:hyperlink r:id="rId73">
        <w:r>
          <w:rPr>
            <w:rStyle w:val="Hyperlink"/>
          </w:rPr>
          <w:t xml:space="preserve">https://doi.org/10.1007/s42947-026-00761-2</w:t>
        </w:r>
      </w:hyperlink>
    </w:p>
    <w:bookmarkEnd w:id="74"/>
    <w:bookmarkStart w:id="76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75">
        <w:r>
          <w:rPr>
            <w:rStyle w:val="Hyperlink"/>
          </w:rPr>
          <w:t xml:space="preserve">https://doi.org/10.1007/s43995-025-00214-0</w:t>
        </w:r>
      </w:hyperlink>
    </w:p>
    <w:bookmarkEnd w:id="76"/>
    <w:bookmarkStart w:id="78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77">
        <w:r>
          <w:rPr>
            <w:rStyle w:val="Hyperlink"/>
          </w:rPr>
          <w:t xml:space="preserve">https://doi.org/10.1007/s41024-025-00667-9</w:t>
        </w:r>
      </w:hyperlink>
    </w:p>
    <w:bookmarkEnd w:id="78"/>
    <w:bookmarkStart w:id="80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79">
        <w:r>
          <w:rPr>
            <w:rStyle w:val="Hyperlink"/>
          </w:rPr>
          <w:t xml:space="preserve">https://doi.org/10.1007/s44290-025-00381-y</w:t>
        </w:r>
      </w:hyperlink>
    </w:p>
    <w:bookmarkEnd w:id="80"/>
    <w:bookmarkStart w:id="82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81">
        <w:r>
          <w:rPr>
            <w:rStyle w:val="Hyperlink"/>
          </w:rPr>
          <w:t xml:space="preserve">https://doi.org/10.1186/s44147-025-00623-x</w:t>
        </w:r>
      </w:hyperlink>
    </w:p>
    <w:bookmarkEnd w:id="82"/>
    <w:bookmarkStart w:id="84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83">
        <w:r>
          <w:rPr>
            <w:rStyle w:val="Hyperlink"/>
          </w:rPr>
          <w:t xml:space="preserve">https://doi.org/10.1007/s41024-024-00499-z</w:t>
        </w:r>
      </w:hyperlink>
    </w:p>
    <w:bookmarkEnd w:id="84"/>
    <w:bookmarkStart w:id="86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85">
        <w:r>
          <w:rPr>
            <w:rStyle w:val="Hyperlink"/>
          </w:rPr>
          <w:t xml:space="preserve">https://doi.org/10.3390/constrmater6010006</w:t>
        </w:r>
      </w:hyperlink>
    </w:p>
    <w:bookmarkEnd w:id="86"/>
    <w:bookmarkStart w:id="88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87">
        <w:r>
          <w:rPr>
            <w:rStyle w:val="Hyperlink"/>
          </w:rPr>
          <w:t xml:space="preserve">https://doi.org/10.1007/s41062-025-02249-7</w:t>
        </w:r>
      </w:hyperlink>
    </w:p>
    <w:bookmarkEnd w:id="88"/>
    <w:bookmarkStart w:id="90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89">
        <w:r>
          <w:rPr>
            <w:rStyle w:val="Hyperlink"/>
          </w:rPr>
          <w:t xml:space="preserve">https://doi.org/10.1186/s44147-025-00706-9</w:t>
        </w:r>
      </w:hyperlink>
    </w:p>
    <w:bookmarkEnd w:id="90"/>
    <w:bookmarkStart w:id="92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91">
        <w:r>
          <w:rPr>
            <w:rStyle w:val="Hyperlink"/>
          </w:rPr>
          <w:t xml:space="preserve">https://doi.org/10.32604/cmc.2023.042183</w:t>
        </w:r>
      </w:hyperlink>
    </w:p>
    <w:bookmarkEnd w:id="92"/>
    <w:bookmarkStart w:id="94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93">
        <w:r>
          <w:rPr>
            <w:rStyle w:val="Hyperlink"/>
          </w:rPr>
          <w:t xml:space="preserve">https://doi.org/10.1155/2008/861701</w:t>
        </w:r>
      </w:hyperlink>
    </w:p>
    <w:bookmarkEnd w:id="94"/>
    <w:bookmarkStart w:id="96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95">
        <w:r>
          <w:rPr>
            <w:rStyle w:val="Hyperlink"/>
          </w:rPr>
          <w:t xml:space="preserve">https://doi.org/10.1038/s41598-022-17429-z</w:t>
        </w:r>
      </w:hyperlink>
    </w:p>
    <w:bookmarkEnd w:id="96"/>
    <w:bookmarkStart w:id="98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97">
        <w:r>
          <w:rPr>
            <w:rStyle w:val="Hyperlink"/>
          </w:rPr>
          <w:t xml:space="preserve">https://doi.org/10.1109/access.2020.2966881</w:t>
        </w:r>
      </w:hyperlink>
    </w:p>
    <w:bookmarkEnd w:id="98"/>
    <w:bookmarkStart w:id="100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99">
        <w:r>
          <w:rPr>
            <w:rStyle w:val="Hyperlink"/>
          </w:rPr>
          <w:t xml:space="preserve">https://doi.org/10.1186/s43065-023-00082-9</w:t>
        </w:r>
      </w:hyperlink>
    </w:p>
    <w:bookmarkEnd w:id="100"/>
    <w:bookmarkStart w:id="102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101">
        <w:r>
          <w:rPr>
            <w:rStyle w:val="Hyperlink"/>
          </w:rPr>
          <w:t xml:space="preserve">https://doi.org/10.1177/03611981251329046</w:t>
        </w:r>
      </w:hyperlink>
    </w:p>
    <w:bookmarkEnd w:id="102"/>
    <w:bookmarkStart w:id="104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103">
        <w:r>
          <w:rPr>
            <w:rStyle w:val="Hyperlink"/>
          </w:rPr>
          <w:t xml:space="preserve">https://doi.org/10.1038/s41598-024-81311-3</w:t>
        </w:r>
      </w:hyperlink>
    </w:p>
    <w:bookmarkEnd w:id="104"/>
    <w:bookmarkStart w:id="10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105">
        <w:r>
          <w:rPr>
            <w:rStyle w:val="Hyperlink"/>
          </w:rPr>
          <w:t xml:space="preserve">https://doi.org/10.1139/cjce-2017-0132</w:t>
        </w:r>
      </w:hyperlink>
    </w:p>
    <w:bookmarkEnd w:id="106"/>
    <w:bookmarkStart w:id="10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107">
        <w:r>
          <w:rPr>
            <w:rStyle w:val="Hyperlink"/>
          </w:rPr>
          <w:t xml:space="preserve">https://doi.org/10.1109/access.2020.2991968</w:t>
        </w:r>
      </w:hyperlink>
    </w:p>
    <w:bookmarkEnd w:id="108"/>
    <w:bookmarkStart w:id="11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109">
        <w:r>
          <w:rPr>
            <w:rStyle w:val="Hyperlink"/>
          </w:rPr>
          <w:t xml:space="preserve">https://doi.org/10.3390/infrastructures11040127</w:t>
        </w:r>
      </w:hyperlink>
    </w:p>
    <w:bookmarkEnd w:id="110"/>
    <w:bookmarkStart w:id="112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111">
        <w:r>
          <w:rPr>
            <w:rStyle w:val="Hyperlink"/>
          </w:rPr>
          <w:t xml:space="preserve">https://doi.org/10.3390/infrastructures8080125</w:t>
        </w:r>
      </w:hyperlink>
    </w:p>
    <w:bookmarkEnd w:id="112"/>
    <w:bookmarkStart w:id="114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113">
        <w:r>
          <w:rPr>
            <w:rStyle w:val="Hyperlink"/>
          </w:rPr>
          <w:t xml:space="preserve">https://doi.org/10.1007/s41062-020-00312-z</w:t>
        </w:r>
      </w:hyperlink>
    </w:p>
    <w:bookmarkEnd w:id="114"/>
    <w:bookmarkStart w:id="116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https://doi.org/10.1016/j.conbuildmat.2025.143050</w:t>
        </w:r>
      </w:hyperlink>
    </w:p>
    <w:bookmarkEnd w:id="116"/>
    <w:bookmarkStart w:id="118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17">
        <w:r>
          <w:rPr>
            <w:rStyle w:val="Hyperlink"/>
          </w:rPr>
          <w:t xml:space="preserve">https://doi.org/10.1038/s41598-024-61313-x</w:t>
        </w:r>
      </w:hyperlink>
    </w:p>
    <w:bookmarkEnd w:id="118"/>
    <w:bookmarkStart w:id="120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19">
        <w:r>
          <w:rPr>
            <w:rStyle w:val="Hyperlink"/>
          </w:rPr>
          <w:t xml:space="preserve">https://doi.org/10.1016/j.sandf.2020.02.010</w:t>
        </w:r>
      </w:hyperlink>
    </w:p>
    <w:bookmarkEnd w:id="120"/>
    <w:bookmarkStart w:id="122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21">
        <w:r>
          <w:rPr>
            <w:rStyle w:val="Hyperlink"/>
          </w:rPr>
          <w:t xml:space="preserve">https://doi.org/10.3390/data3030028</w:t>
        </w:r>
      </w:hyperlink>
    </w:p>
    <w:bookmarkEnd w:id="122"/>
    <w:bookmarkStart w:id="124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23">
        <w:r>
          <w:rPr>
            <w:rStyle w:val="Hyperlink"/>
          </w:rPr>
          <w:t xml:space="preserve">https://doi.org/10.1016/j.conbuildmat.2025.140001</w:t>
        </w:r>
      </w:hyperlink>
    </w:p>
    <w:bookmarkEnd w:id="124"/>
    <w:bookmarkStart w:id="126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25">
        <w:r>
          <w:rPr>
            <w:rStyle w:val="Hyperlink"/>
          </w:rPr>
          <w:t xml:space="preserve">https://doi.org/10.1016/j.conbuildmat.2023.131852</w:t>
        </w:r>
      </w:hyperlink>
    </w:p>
    <w:bookmarkEnd w:id="126"/>
    <w:bookmarkStart w:id="128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27">
        <w:r>
          <w:rPr>
            <w:rStyle w:val="Hyperlink"/>
          </w:rPr>
          <w:t xml:space="preserve">https://doi.org/10.1111/mice.70102</w:t>
        </w:r>
      </w:hyperlink>
    </w:p>
    <w:bookmarkEnd w:id="128"/>
    <w:bookmarkStart w:id="130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29">
        <w:r>
          <w:rPr>
            <w:rStyle w:val="Hyperlink"/>
          </w:rPr>
          <w:t xml:space="preserve">https://doi.org/10.1007/s42947-026-00866-8</w:t>
        </w:r>
      </w:hyperlink>
    </w:p>
    <w:bookmarkEnd w:id="130"/>
    <w:bookmarkStart w:id="132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31">
        <w:r>
          <w:rPr>
            <w:rStyle w:val="Hyperlink"/>
          </w:rPr>
          <w:t xml:space="preserve">https://doi.org/10.1016/j.conbuildmat.2024.135070</w:t>
        </w:r>
      </w:hyperlink>
    </w:p>
    <w:bookmarkEnd w:id="132"/>
    <w:bookmarkStart w:id="13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33">
        <w:r>
          <w:rPr>
            <w:rStyle w:val="Hyperlink"/>
          </w:rPr>
          <w:t xml:space="preserve">https://doi.org/10.1016/j.cscm.2022.e00991</w:t>
        </w:r>
      </w:hyperlink>
    </w:p>
    <w:bookmarkEnd w:id="134"/>
    <w:bookmarkStart w:id="13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35">
        <w:r>
          <w:rPr>
            <w:rStyle w:val="Hyperlink"/>
          </w:rPr>
          <w:t xml:space="preserve">https://doi.org/10.3390/infrastructures6020028</w:t>
        </w:r>
      </w:hyperlink>
    </w:p>
    <w:bookmarkEnd w:id="136"/>
    <w:bookmarkStart w:id="13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37">
        <w:r>
          <w:rPr>
            <w:rStyle w:val="Hyperlink"/>
          </w:rPr>
          <w:t xml:space="preserve">https://doi.org/10.1016/j.eng.2020.07.030</w:t>
        </w:r>
      </w:hyperlink>
    </w:p>
    <w:bookmarkEnd w:id="138"/>
    <w:bookmarkStart w:id="14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39">
        <w:r>
          <w:rPr>
            <w:rStyle w:val="Hyperlink"/>
          </w:rPr>
          <w:t xml:space="preserve">https://doi.org/10.3390/ma18122913</w:t>
        </w:r>
      </w:hyperlink>
    </w:p>
    <w:bookmarkEnd w:id="140"/>
    <w:bookmarkStart w:id="142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41">
        <w:r>
          <w:rPr>
            <w:rStyle w:val="Hyperlink"/>
          </w:rPr>
          <w:t xml:space="preserve">https://doi.org/10.1155/2023/1827117</w:t>
        </w:r>
      </w:hyperlink>
    </w:p>
    <w:bookmarkEnd w:id="142"/>
    <w:bookmarkStart w:id="144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43">
        <w:r>
          <w:rPr>
            <w:rStyle w:val="Hyperlink"/>
          </w:rPr>
          <w:t xml:space="preserve">https://doi.org/10.1038/s41598-024-65547-7</w:t>
        </w:r>
      </w:hyperlink>
    </w:p>
    <w:bookmarkEnd w:id="144"/>
    <w:bookmarkStart w:id="146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45">
        <w:r>
          <w:rPr>
            <w:rStyle w:val="Hyperlink"/>
          </w:rPr>
          <w:t xml:space="preserve">https://doi.org/10.3390/asi9070133</w:t>
        </w:r>
      </w:hyperlink>
    </w:p>
    <w:bookmarkEnd w:id="146"/>
    <w:bookmarkStart w:id="148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47">
        <w:r>
          <w:rPr>
            <w:rStyle w:val="Hyperlink"/>
          </w:rPr>
          <w:t xml:space="preserve">https://doi.org/10.1080/10298436.2020.1776281</w:t>
        </w:r>
      </w:hyperlink>
    </w:p>
    <w:bookmarkEnd w:id="148"/>
    <w:bookmarkStart w:id="15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49">
        <w:r>
          <w:rPr>
            <w:rStyle w:val="Hyperlink"/>
          </w:rPr>
          <w:t xml:space="preserve">https://doi.org/10.3390/app9163221</w:t>
        </w:r>
      </w:hyperlink>
    </w:p>
    <w:bookmarkEnd w:id="150"/>
    <w:bookmarkStart w:id="152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51">
        <w:r>
          <w:rPr>
            <w:rStyle w:val="Hyperlink"/>
          </w:rPr>
          <w:t xml:space="preserve">https://doi.org/10.1080/14680629.2024.2315073</w:t>
        </w:r>
      </w:hyperlink>
    </w:p>
    <w:bookmarkEnd w:id="152"/>
    <w:bookmarkStart w:id="154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53">
        <w:r>
          <w:rPr>
            <w:rStyle w:val="Hyperlink"/>
          </w:rPr>
          <w:t xml:space="preserve">https://doi.org/10.28927/sr.2026.000725</w:t>
        </w:r>
      </w:hyperlink>
    </w:p>
    <w:bookmarkEnd w:id="154"/>
    <w:bookmarkStart w:id="15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55">
        <w:r>
          <w:rPr>
            <w:rStyle w:val="Hyperlink"/>
          </w:rPr>
          <w:t xml:space="preserve">https://doi.org/10.48550/arxiv.2112.12589</w:t>
        </w:r>
      </w:hyperlink>
    </w:p>
    <w:bookmarkEnd w:id="156"/>
    <w:bookmarkStart w:id="158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57">
        <w:r>
          <w:rPr>
            <w:rStyle w:val="Hyperlink"/>
          </w:rPr>
          <w:t xml:space="preserve">https://doi.org/10.1016/j.autcon.2025.105983</w:t>
        </w:r>
      </w:hyperlink>
    </w:p>
    <w:bookmarkEnd w:id="158"/>
    <w:bookmarkStart w:id="160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59">
        <w:r>
          <w:rPr>
            <w:rStyle w:val="Hyperlink"/>
          </w:rPr>
          <w:t xml:space="preserve">https://doi.org/10.1016/j.cacaie.2026.100171</w:t>
        </w:r>
      </w:hyperlink>
    </w:p>
    <w:bookmarkEnd w:id="160"/>
    <w:bookmarkStart w:id="162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61">
        <w:r>
          <w:rPr>
            <w:rStyle w:val="Hyperlink"/>
          </w:rPr>
          <w:t xml:space="preserve">https://doi.org/10.3390/app13031999</w:t>
        </w:r>
      </w:hyperlink>
    </w:p>
    <w:bookmarkEnd w:id="162"/>
    <w:bookmarkStart w:id="164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63">
        <w:r>
          <w:rPr>
            <w:rStyle w:val="Hyperlink"/>
          </w:rPr>
          <w:t xml:space="preserve">https://doi.org/10.1016/j.neunet.2026.108803</w:t>
        </w:r>
      </w:hyperlink>
    </w:p>
    <w:bookmarkEnd w:id="164"/>
    <w:bookmarkStart w:id="166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65">
        <w:r>
          <w:rPr>
            <w:rStyle w:val="Hyperlink"/>
          </w:rPr>
          <w:t xml:space="preserve">https://doi.org/10.1007/s43995-026-00294-6</w:t>
        </w:r>
      </w:hyperlink>
    </w:p>
    <w:bookmarkEnd w:id="166"/>
    <w:bookmarkStart w:id="168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67">
        <w:r>
          <w:rPr>
            <w:rStyle w:val="Hyperlink"/>
          </w:rPr>
          <w:t xml:space="preserve">https://doi.org/10.1016/j.jtte.2016.09.007</w:t>
        </w:r>
      </w:hyperlink>
    </w:p>
    <w:bookmarkEnd w:id="168"/>
    <w:bookmarkStart w:id="170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69">
        <w:r>
          <w:rPr>
            <w:rStyle w:val="Hyperlink"/>
          </w:rPr>
          <w:t xml:space="preserve">https://doi.org/10.1016/j.eswa.2010.12.060</w:t>
        </w:r>
      </w:hyperlink>
    </w:p>
    <w:bookmarkEnd w:id="170"/>
    <w:bookmarkStart w:id="172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71">
        <w:r>
          <w:rPr>
            <w:rStyle w:val="Hyperlink"/>
          </w:rPr>
          <w:t xml:space="preserve">https://doi.org/10.1016/j.eswa.2011.01.089</w:t>
        </w:r>
      </w:hyperlink>
    </w:p>
    <w:bookmarkEnd w:id="172"/>
    <w:bookmarkStart w:id="174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73">
        <w:r>
          <w:rPr>
            <w:rStyle w:val="Hyperlink"/>
          </w:rPr>
          <w:t xml:space="preserve">https://doi.org/10.3390/app9153172</w:t>
        </w:r>
      </w:hyperlink>
    </w:p>
    <w:bookmarkEnd w:id="174"/>
    <w:bookmarkStart w:id="176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75">
        <w:r>
          <w:rPr>
            <w:rStyle w:val="Hyperlink"/>
          </w:rPr>
          <w:t xml:space="preserve">https://doi.org/10.1111/mice.70169</w:t>
        </w:r>
      </w:hyperlink>
    </w:p>
    <w:bookmarkEnd w:id="176"/>
    <w:bookmarkStart w:id="178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77">
        <w:r>
          <w:rPr>
            <w:rStyle w:val="Hyperlink"/>
          </w:rPr>
          <w:t xml:space="preserve">https://doi.org/10.1177/03611981241245991</w:t>
        </w:r>
      </w:hyperlink>
    </w:p>
    <w:bookmarkEnd w:id="178"/>
    <w:bookmarkStart w:id="180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79">
        <w:r>
          <w:rPr>
            <w:rStyle w:val="Hyperlink"/>
          </w:rPr>
          <w:t xml:space="preserve">https://doi.org/10.32604/sdhm.2026.075421</w:t>
        </w:r>
      </w:hyperlink>
    </w:p>
    <w:bookmarkEnd w:id="180"/>
    <w:bookmarkStart w:id="182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81">
        <w:r>
          <w:rPr>
            <w:rStyle w:val="Hyperlink"/>
          </w:rPr>
          <w:t xml:space="preserve">https://doi.org/10.1016/j.conbuildmat.2025.142179</w:t>
        </w:r>
      </w:hyperlink>
    </w:p>
    <w:bookmarkEnd w:id="182"/>
    <w:bookmarkStart w:id="184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83">
        <w:r>
          <w:rPr>
            <w:rStyle w:val="Hyperlink"/>
          </w:rPr>
          <w:t xml:space="preserve">https://doi.org/10.3390/su15129617</w:t>
        </w:r>
      </w:hyperlink>
    </w:p>
    <w:bookmarkEnd w:id="184"/>
    <w:bookmarkStart w:id="186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85">
        <w:r>
          <w:rPr>
            <w:rStyle w:val="Hyperlink"/>
          </w:rPr>
          <w:t xml:space="preserve">https://doi.org/10.3390/s23073772</w:t>
        </w:r>
      </w:hyperlink>
    </w:p>
    <w:bookmarkEnd w:id="186"/>
    <w:bookmarkStart w:id="188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87">
        <w:r>
          <w:rPr>
            <w:rStyle w:val="Hyperlink"/>
          </w:rPr>
          <w:t xml:space="preserve">https://doi.org/10.1177/03611981251372087</w:t>
        </w:r>
      </w:hyperlink>
    </w:p>
    <w:bookmarkEnd w:id="188"/>
    <w:bookmarkStart w:id="190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89">
        <w:r>
          <w:rPr>
            <w:rStyle w:val="Hyperlink"/>
          </w:rPr>
          <w:t xml:space="preserve">https://doi.org/10.1016/j.conbuildmat.2023.133523</w:t>
        </w:r>
      </w:hyperlink>
    </w:p>
    <w:bookmarkEnd w:id="190"/>
    <w:bookmarkStart w:id="192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91">
        <w:r>
          <w:rPr>
            <w:rStyle w:val="Hyperlink"/>
          </w:rPr>
          <w:t xml:space="preserve">https://doi.org/10.1016/j.trgeo.2024.101409</w:t>
        </w:r>
      </w:hyperlink>
    </w:p>
    <w:bookmarkEnd w:id="192"/>
    <w:bookmarkStart w:id="194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93">
        <w:r>
          <w:rPr>
            <w:rStyle w:val="Hyperlink"/>
          </w:rPr>
          <w:t xml:space="preserve">https://doi.org/10.1016/j.conbuildmat.2025.142704</w:t>
        </w:r>
      </w:hyperlink>
    </w:p>
    <w:bookmarkEnd w:id="194"/>
    <w:bookmarkStart w:id="196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95">
        <w:r>
          <w:rPr>
            <w:rStyle w:val="Hyperlink"/>
          </w:rPr>
          <w:t xml:space="preserve">https://doi.org/10.3390/app132312862</w:t>
        </w:r>
      </w:hyperlink>
    </w:p>
    <w:bookmarkEnd w:id="196"/>
    <w:bookmarkStart w:id="198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97">
        <w:r>
          <w:rPr>
            <w:rStyle w:val="Hyperlink"/>
          </w:rPr>
          <w:t xml:space="preserve">https://doi.org/10.1016/j.conbuildmat.2026.146164</w:t>
        </w:r>
      </w:hyperlink>
    </w:p>
    <w:bookmarkEnd w:id="198"/>
    <w:bookmarkStart w:id="20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99">
        <w:r>
          <w:rPr>
            <w:rStyle w:val="Hyperlink"/>
          </w:rPr>
          <w:t xml:space="preserve">https://doi.org/10.1016/j.jtte.2021.03.005</w:t>
        </w:r>
      </w:hyperlink>
    </w:p>
    <w:bookmarkEnd w:id="200"/>
    <w:bookmarkStart w:id="20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201">
        <w:r>
          <w:rPr>
            <w:rStyle w:val="Hyperlink"/>
          </w:rPr>
          <w:t xml:space="preserve">https://doi.org/10.1109/tits.2022.3161689</w:t>
        </w:r>
      </w:hyperlink>
    </w:p>
    <w:bookmarkEnd w:id="202"/>
    <w:bookmarkStart w:id="20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203">
        <w:r>
          <w:rPr>
            <w:rStyle w:val="Hyperlink"/>
          </w:rPr>
          <w:t xml:space="preserve">https://doi.org/10.1155/2020/8824135</w:t>
        </w:r>
      </w:hyperlink>
    </w:p>
    <w:bookmarkEnd w:id="204"/>
    <w:bookmarkStart w:id="20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205">
        <w:r>
          <w:rPr>
            <w:rStyle w:val="Hyperlink"/>
          </w:rPr>
          <w:t xml:space="preserve">https://doi.org/10.28991/cej-2025-011-01-06</w:t>
        </w:r>
      </w:hyperlink>
    </w:p>
    <w:bookmarkEnd w:id="206"/>
    <w:bookmarkStart w:id="208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207">
        <w:r>
          <w:rPr>
            <w:rStyle w:val="Hyperlink"/>
          </w:rPr>
          <w:t xml:space="preserve">https://doi.org/10.1016/j.ymssp.2025.112468</w:t>
        </w:r>
      </w:hyperlink>
    </w:p>
    <w:bookmarkEnd w:id="208"/>
    <w:bookmarkStart w:id="210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209">
        <w:r>
          <w:rPr>
            <w:rStyle w:val="Hyperlink"/>
          </w:rPr>
          <w:t xml:space="preserve">https://doi.org/10.3390/s26113286</w:t>
        </w:r>
      </w:hyperlink>
    </w:p>
    <w:bookmarkEnd w:id="210"/>
    <w:bookmarkEnd w:id="211"/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17" Target="media/rId1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83" Target="https://doi.org/10.1007/s41024-024-00499-z" TargetMode="External" /><Relationship Type="http://schemas.openxmlformats.org/officeDocument/2006/relationships/hyperlink" Id="rId77" Target="https://doi.org/10.1007/s41024-025-00667-9" TargetMode="External" /><Relationship Type="http://schemas.openxmlformats.org/officeDocument/2006/relationships/hyperlink" Id="rId113" Target="https://doi.org/10.1007/s41062-020-00312-z" TargetMode="External" /><Relationship Type="http://schemas.openxmlformats.org/officeDocument/2006/relationships/hyperlink" Id="rId87" Target="https://doi.org/10.1007/s41062-025-02249-7" TargetMode="External" /><Relationship Type="http://schemas.openxmlformats.org/officeDocument/2006/relationships/hyperlink" Id="rId73" Target="https://doi.org/10.1007/s42947-026-00761-2" TargetMode="External" /><Relationship Type="http://schemas.openxmlformats.org/officeDocument/2006/relationships/hyperlink" Id="rId129" Target="https://doi.org/10.1007/s42947-026-00866-8" TargetMode="External" /><Relationship Type="http://schemas.openxmlformats.org/officeDocument/2006/relationships/hyperlink" Id="rId75" Target="https://doi.org/10.1007/s43995-025-00214-0" TargetMode="External" /><Relationship Type="http://schemas.openxmlformats.org/officeDocument/2006/relationships/hyperlink" Id="rId165" Target="https://doi.org/10.1007/s43995-026-00294-6" TargetMode="External" /><Relationship Type="http://schemas.openxmlformats.org/officeDocument/2006/relationships/hyperlink" Id="rId79" Target="https://doi.org/10.1007/s44290-025-00381-y" TargetMode="External" /><Relationship Type="http://schemas.openxmlformats.org/officeDocument/2006/relationships/hyperlink" Id="rId157" Target="https://doi.org/10.1016/j.autcon.2025.105983" TargetMode="External" /><Relationship Type="http://schemas.openxmlformats.org/officeDocument/2006/relationships/hyperlink" Id="rId159" Target="https://doi.org/10.1016/j.cacaie.2026.100171" TargetMode="External" /><Relationship Type="http://schemas.openxmlformats.org/officeDocument/2006/relationships/hyperlink" Id="rId125" Target="https://doi.org/10.1016/j.conbuildmat.2023.131852" TargetMode="External" /><Relationship Type="http://schemas.openxmlformats.org/officeDocument/2006/relationships/hyperlink" Id="rId189" Target="https://doi.org/10.1016/j.conbuildmat.2023.133523" TargetMode="External" /><Relationship Type="http://schemas.openxmlformats.org/officeDocument/2006/relationships/hyperlink" Id="rId131" Target="https://doi.org/10.1016/j.conbuildmat.2024.135070" TargetMode="External" /><Relationship Type="http://schemas.openxmlformats.org/officeDocument/2006/relationships/hyperlink" Id="rId123" Target="https://doi.org/10.1016/j.conbuildmat.2025.140001" TargetMode="External" /><Relationship Type="http://schemas.openxmlformats.org/officeDocument/2006/relationships/hyperlink" Id="rId181" Target="https://doi.org/10.1016/j.conbuildmat.2025.142179" TargetMode="External" /><Relationship Type="http://schemas.openxmlformats.org/officeDocument/2006/relationships/hyperlink" Id="rId193" Target="https://doi.org/10.1016/j.conbuildmat.2025.142704" TargetMode="External" /><Relationship Type="http://schemas.openxmlformats.org/officeDocument/2006/relationships/hyperlink" Id="rId115" Target="https://doi.org/10.1016/j.conbuildmat.2025.143050" TargetMode="External" /><Relationship Type="http://schemas.openxmlformats.org/officeDocument/2006/relationships/hyperlink" Id="rId197" Target="https://doi.org/10.1016/j.conbuildmat.2026.146164" TargetMode="External" /><Relationship Type="http://schemas.openxmlformats.org/officeDocument/2006/relationships/hyperlink" Id="rId133" Target="https://doi.org/10.1016/j.cscm.2022.e00991" TargetMode="External" /><Relationship Type="http://schemas.openxmlformats.org/officeDocument/2006/relationships/hyperlink" Id="rId137" Target="https://doi.org/10.1016/j.eng.2020.07.030" TargetMode="External" /><Relationship Type="http://schemas.openxmlformats.org/officeDocument/2006/relationships/hyperlink" Id="rId169" Target="https://doi.org/10.1016/j.eswa.2010.12.060" TargetMode="External" /><Relationship Type="http://schemas.openxmlformats.org/officeDocument/2006/relationships/hyperlink" Id="rId171" Target="https://doi.org/10.1016/j.eswa.2011.01.089" TargetMode="External" /><Relationship Type="http://schemas.openxmlformats.org/officeDocument/2006/relationships/hyperlink" Id="rId167" Target="https://doi.org/10.1016/j.jtte.2016.09.007" TargetMode="External" /><Relationship Type="http://schemas.openxmlformats.org/officeDocument/2006/relationships/hyperlink" Id="rId199" Target="https://doi.org/10.1016/j.jtte.2021.03.005" TargetMode="External" /><Relationship Type="http://schemas.openxmlformats.org/officeDocument/2006/relationships/hyperlink" Id="rId163" Target="https://doi.org/10.1016/j.neunet.2026.108803" TargetMode="External" /><Relationship Type="http://schemas.openxmlformats.org/officeDocument/2006/relationships/hyperlink" Id="rId119" Target="https://doi.org/10.1016/j.sandf.2020.02.010" TargetMode="External" /><Relationship Type="http://schemas.openxmlformats.org/officeDocument/2006/relationships/hyperlink" Id="rId191" Target="https://doi.org/10.1016/j.trgeo.2024.101409" TargetMode="External" /><Relationship Type="http://schemas.openxmlformats.org/officeDocument/2006/relationships/hyperlink" Id="rId207" Target="https://doi.org/10.1016/j.ymssp.2025.112468" TargetMode="External" /><Relationship Type="http://schemas.openxmlformats.org/officeDocument/2006/relationships/hyperlink" Id="rId95" Target="https://doi.org/10.1038/s41598-022-17429-z" TargetMode="External" /><Relationship Type="http://schemas.openxmlformats.org/officeDocument/2006/relationships/hyperlink" Id="rId117" Target="https://doi.org/10.1038/s41598-024-61313-x" TargetMode="External" /><Relationship Type="http://schemas.openxmlformats.org/officeDocument/2006/relationships/hyperlink" Id="rId143" Target="https://doi.org/10.1038/s41598-024-65547-7" TargetMode="External" /><Relationship Type="http://schemas.openxmlformats.org/officeDocument/2006/relationships/hyperlink" Id="rId103" Target="https://doi.org/10.1038/s41598-024-81311-3" TargetMode="External" /><Relationship Type="http://schemas.openxmlformats.org/officeDocument/2006/relationships/hyperlink" Id="rId147" Target="https://doi.org/10.1080/10298436.2020.1776281" TargetMode="External" /><Relationship Type="http://schemas.openxmlformats.org/officeDocument/2006/relationships/hyperlink" Id="rId151" Target="https://doi.org/10.1080/14680629.2024.2315073" TargetMode="External" /><Relationship Type="http://schemas.openxmlformats.org/officeDocument/2006/relationships/hyperlink" Id="rId97" Target="https://doi.org/10.1109/access.2020.2966881" TargetMode="External" /><Relationship Type="http://schemas.openxmlformats.org/officeDocument/2006/relationships/hyperlink" Id="rId107" Target="https://doi.org/10.1109/access.2020.2991968" TargetMode="External" /><Relationship Type="http://schemas.openxmlformats.org/officeDocument/2006/relationships/hyperlink" Id="rId71" Target="https://doi.org/10.1109/access.2022.3196660" TargetMode="External" /><Relationship Type="http://schemas.openxmlformats.org/officeDocument/2006/relationships/hyperlink" Id="rId201" Target="https://doi.org/10.1109/tits.2022.3161689" TargetMode="External" /><Relationship Type="http://schemas.openxmlformats.org/officeDocument/2006/relationships/hyperlink" Id="rId127" Target="https://doi.org/10.1111/mice.70102" TargetMode="External" /><Relationship Type="http://schemas.openxmlformats.org/officeDocument/2006/relationships/hyperlink" Id="rId175" Target="https://doi.org/10.1111/mice.70169" TargetMode="External" /><Relationship Type="http://schemas.openxmlformats.org/officeDocument/2006/relationships/hyperlink" Id="rId105" Target="https://doi.org/10.1139/cjce-2017-0132" TargetMode="External" /><Relationship Type="http://schemas.openxmlformats.org/officeDocument/2006/relationships/hyperlink" Id="rId93" Target="https://doi.org/10.1155/2008/861701" TargetMode="External" /><Relationship Type="http://schemas.openxmlformats.org/officeDocument/2006/relationships/hyperlink" Id="rId203" Target="https://doi.org/10.1155/2020/8824135" TargetMode="External" /><Relationship Type="http://schemas.openxmlformats.org/officeDocument/2006/relationships/hyperlink" Id="rId141" Target="https://doi.org/10.1155/2023/1827117" TargetMode="External" /><Relationship Type="http://schemas.openxmlformats.org/officeDocument/2006/relationships/hyperlink" Id="rId177" Target="https://doi.org/10.1177/03611981241245991" TargetMode="External" /><Relationship Type="http://schemas.openxmlformats.org/officeDocument/2006/relationships/hyperlink" Id="rId101" Target="https://doi.org/10.1177/03611981251329046" TargetMode="External" /><Relationship Type="http://schemas.openxmlformats.org/officeDocument/2006/relationships/hyperlink" Id="rId187" Target="https://doi.org/10.1177/03611981251372087" TargetMode="External" /><Relationship Type="http://schemas.openxmlformats.org/officeDocument/2006/relationships/hyperlink" Id="rId99" Target="https://doi.org/10.1186/s43065-023-00082-9" TargetMode="External" /><Relationship Type="http://schemas.openxmlformats.org/officeDocument/2006/relationships/hyperlink" Id="rId81" Target="https://doi.org/10.1186/s44147-025-00623-x" TargetMode="External" /><Relationship Type="http://schemas.openxmlformats.org/officeDocument/2006/relationships/hyperlink" Id="rId89" Target="https://doi.org/10.1186/s44147-025-00706-9" TargetMode="External" /><Relationship Type="http://schemas.openxmlformats.org/officeDocument/2006/relationships/hyperlink" Id="rId153" Target="https://doi.org/10.28927/sr.2026.000725" TargetMode="External" /><Relationship Type="http://schemas.openxmlformats.org/officeDocument/2006/relationships/hyperlink" Id="rId205" Target="https://doi.org/10.28991/cej-2025-011-01-06" TargetMode="External" /><Relationship Type="http://schemas.openxmlformats.org/officeDocument/2006/relationships/hyperlink" Id="rId91" Target="https://doi.org/10.32604/cmc.2023.042183" TargetMode="External" /><Relationship Type="http://schemas.openxmlformats.org/officeDocument/2006/relationships/hyperlink" Id="rId179" Target="https://doi.org/10.32604/sdhm.2026.075421" TargetMode="External" /><Relationship Type="http://schemas.openxmlformats.org/officeDocument/2006/relationships/hyperlink" Id="rId161" Target="https://doi.org/10.3390/app13031999" TargetMode="External" /><Relationship Type="http://schemas.openxmlformats.org/officeDocument/2006/relationships/hyperlink" Id="rId195" Target="https://doi.org/10.3390/app132312862" TargetMode="External" /><Relationship Type="http://schemas.openxmlformats.org/officeDocument/2006/relationships/hyperlink" Id="rId173" Target="https://doi.org/10.3390/app9153172" TargetMode="External" /><Relationship Type="http://schemas.openxmlformats.org/officeDocument/2006/relationships/hyperlink" Id="rId149" Target="https://doi.org/10.3390/app9163221" TargetMode="External" /><Relationship Type="http://schemas.openxmlformats.org/officeDocument/2006/relationships/hyperlink" Id="rId145" Target="https://doi.org/10.3390/asi9070133" TargetMode="External" /><Relationship Type="http://schemas.openxmlformats.org/officeDocument/2006/relationships/hyperlink" Id="rId85" Target="https://doi.org/10.3390/constrmater6010006" TargetMode="External" /><Relationship Type="http://schemas.openxmlformats.org/officeDocument/2006/relationships/hyperlink" Id="rId121" Target="https://doi.org/10.3390/data3030028" TargetMode="External" /><Relationship Type="http://schemas.openxmlformats.org/officeDocument/2006/relationships/hyperlink" Id="rId109" Target="https://doi.org/10.3390/infrastructures11040127" TargetMode="External" /><Relationship Type="http://schemas.openxmlformats.org/officeDocument/2006/relationships/hyperlink" Id="rId135" Target="https://doi.org/10.3390/infrastructures6020028" TargetMode="External" /><Relationship Type="http://schemas.openxmlformats.org/officeDocument/2006/relationships/hyperlink" Id="rId111" Target="https://doi.org/10.3390/infrastructures8080125" TargetMode="External" /><Relationship Type="http://schemas.openxmlformats.org/officeDocument/2006/relationships/hyperlink" Id="rId139" Target="https://doi.org/10.3390/ma18122913" TargetMode="External" /><Relationship Type="http://schemas.openxmlformats.org/officeDocument/2006/relationships/hyperlink" Id="rId185" Target="https://doi.org/10.3390/s23073772" TargetMode="External" /><Relationship Type="http://schemas.openxmlformats.org/officeDocument/2006/relationships/hyperlink" Id="rId209" Target="https://doi.org/10.3390/s26113286" TargetMode="External" /><Relationship Type="http://schemas.openxmlformats.org/officeDocument/2006/relationships/hyperlink" Id="rId183" Target="https://doi.org/10.3390/su15129617" TargetMode="External" /><Relationship Type="http://schemas.openxmlformats.org/officeDocument/2006/relationships/hyperlink" Id="rId155" Target="https://doi.org/10.48550/arxiv.2112.12589" TargetMode="External" /><Relationship Type="http://schemas.openxmlformats.org/officeDocument/2006/relationships/hyperlink" Id="rId69" Target="https://github.com/sabernaseralavi-60/Does-Hybridisation-Pay-A-Systematic-Review-of-Hybrids-in-Pavement-Engin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doi.org/10.1007/s41024-024-00499-z" TargetMode="External" /><Relationship Type="http://schemas.openxmlformats.org/officeDocument/2006/relationships/hyperlink" Id="rId77" Target="https://doi.org/10.1007/s41024-025-00667-9" TargetMode="External" /><Relationship Type="http://schemas.openxmlformats.org/officeDocument/2006/relationships/hyperlink" Id="rId113" Target="https://doi.org/10.1007/s41062-020-00312-z" TargetMode="External" /><Relationship Type="http://schemas.openxmlformats.org/officeDocument/2006/relationships/hyperlink" Id="rId87" Target="https://doi.org/10.1007/s41062-025-02249-7" TargetMode="External" /><Relationship Type="http://schemas.openxmlformats.org/officeDocument/2006/relationships/hyperlink" Id="rId73" Target="https://doi.org/10.1007/s42947-026-00761-2" TargetMode="External" /><Relationship Type="http://schemas.openxmlformats.org/officeDocument/2006/relationships/hyperlink" Id="rId129" Target="https://doi.org/10.1007/s42947-026-00866-8" TargetMode="External" /><Relationship Type="http://schemas.openxmlformats.org/officeDocument/2006/relationships/hyperlink" Id="rId75" Target="https://doi.org/10.1007/s43995-025-00214-0" TargetMode="External" /><Relationship Type="http://schemas.openxmlformats.org/officeDocument/2006/relationships/hyperlink" Id="rId165" Target="https://doi.org/10.1007/s43995-026-00294-6" TargetMode="External" /><Relationship Type="http://schemas.openxmlformats.org/officeDocument/2006/relationships/hyperlink" Id="rId79" Target="https://doi.org/10.1007/s44290-025-00381-y" TargetMode="External" /><Relationship Type="http://schemas.openxmlformats.org/officeDocument/2006/relationships/hyperlink" Id="rId157" Target="https://doi.org/10.1016/j.autcon.2025.105983" TargetMode="External" /><Relationship Type="http://schemas.openxmlformats.org/officeDocument/2006/relationships/hyperlink" Id="rId159" Target="https://doi.org/10.1016/j.cacaie.2026.100171" TargetMode="External" /><Relationship Type="http://schemas.openxmlformats.org/officeDocument/2006/relationships/hyperlink" Id="rId125" Target="https://doi.org/10.1016/j.conbuildmat.2023.131852" TargetMode="External" /><Relationship Type="http://schemas.openxmlformats.org/officeDocument/2006/relationships/hyperlink" Id="rId189" Target="https://doi.org/10.1016/j.conbuildmat.2023.133523" TargetMode="External" /><Relationship Type="http://schemas.openxmlformats.org/officeDocument/2006/relationships/hyperlink" Id="rId131" Target="https://doi.org/10.1016/j.conbuildmat.2024.135070" TargetMode="External" /><Relationship Type="http://schemas.openxmlformats.org/officeDocument/2006/relationships/hyperlink" Id="rId123" Target="https://doi.org/10.1016/j.conbuildmat.2025.140001" TargetMode="External" /><Relationship Type="http://schemas.openxmlformats.org/officeDocument/2006/relationships/hyperlink" Id="rId181" Target="https://doi.org/10.1016/j.conbuildmat.2025.142179" TargetMode="External" /><Relationship Type="http://schemas.openxmlformats.org/officeDocument/2006/relationships/hyperlink" Id="rId193" Target="https://doi.org/10.1016/j.conbuildmat.2025.142704" TargetMode="External" /><Relationship Type="http://schemas.openxmlformats.org/officeDocument/2006/relationships/hyperlink" Id="rId115" Target="https://doi.org/10.1016/j.conbuildmat.2025.143050" TargetMode="External" /><Relationship Type="http://schemas.openxmlformats.org/officeDocument/2006/relationships/hyperlink" Id="rId197" Target="https://doi.org/10.1016/j.conbuildmat.2026.146164" TargetMode="External" /><Relationship Type="http://schemas.openxmlformats.org/officeDocument/2006/relationships/hyperlink" Id="rId133" Target="https://doi.org/10.1016/j.cscm.2022.e00991" TargetMode="External" /><Relationship Type="http://schemas.openxmlformats.org/officeDocument/2006/relationships/hyperlink" Id="rId137" Target="https://doi.org/10.1016/j.eng.2020.07.030" TargetMode="External" /><Relationship Type="http://schemas.openxmlformats.org/officeDocument/2006/relationships/hyperlink" Id="rId169" Target="https://doi.org/10.1016/j.eswa.2010.12.060" TargetMode="External" /><Relationship Type="http://schemas.openxmlformats.org/officeDocument/2006/relationships/hyperlink" Id="rId171" Target="https://doi.org/10.1016/j.eswa.2011.01.089" TargetMode="External" /><Relationship Type="http://schemas.openxmlformats.org/officeDocument/2006/relationships/hyperlink" Id="rId167" Target="https://doi.org/10.1016/j.jtte.2016.09.007" TargetMode="External" /><Relationship Type="http://schemas.openxmlformats.org/officeDocument/2006/relationships/hyperlink" Id="rId199" Target="https://doi.org/10.1016/j.jtte.2021.03.005" TargetMode="External" /><Relationship Type="http://schemas.openxmlformats.org/officeDocument/2006/relationships/hyperlink" Id="rId163" Target="https://doi.org/10.1016/j.neunet.2026.108803" TargetMode="External" /><Relationship Type="http://schemas.openxmlformats.org/officeDocument/2006/relationships/hyperlink" Id="rId119" Target="https://doi.org/10.1016/j.sandf.2020.02.010" TargetMode="External" /><Relationship Type="http://schemas.openxmlformats.org/officeDocument/2006/relationships/hyperlink" Id="rId191" Target="https://doi.org/10.1016/j.trgeo.2024.101409" TargetMode="External" /><Relationship Type="http://schemas.openxmlformats.org/officeDocument/2006/relationships/hyperlink" Id="rId207" Target="https://doi.org/10.1016/j.ymssp.2025.112468" TargetMode="External" /><Relationship Type="http://schemas.openxmlformats.org/officeDocument/2006/relationships/hyperlink" Id="rId95" Target="https://doi.org/10.1038/s41598-022-17429-z" TargetMode="External" /><Relationship Type="http://schemas.openxmlformats.org/officeDocument/2006/relationships/hyperlink" Id="rId117" Target="https://doi.org/10.1038/s41598-024-61313-x" TargetMode="External" /><Relationship Type="http://schemas.openxmlformats.org/officeDocument/2006/relationships/hyperlink" Id="rId143" Target="https://doi.org/10.1038/s41598-024-65547-7" TargetMode="External" /><Relationship Type="http://schemas.openxmlformats.org/officeDocument/2006/relationships/hyperlink" Id="rId103" Target="https://doi.org/10.1038/s41598-024-81311-3" TargetMode="External" /><Relationship Type="http://schemas.openxmlformats.org/officeDocument/2006/relationships/hyperlink" Id="rId147" Target="https://doi.org/10.1080/10298436.2020.1776281" TargetMode="External" /><Relationship Type="http://schemas.openxmlformats.org/officeDocument/2006/relationships/hyperlink" Id="rId151" Target="https://doi.org/10.1080/14680629.2024.2315073" TargetMode="External" /><Relationship Type="http://schemas.openxmlformats.org/officeDocument/2006/relationships/hyperlink" Id="rId97" Target="https://doi.org/10.1109/access.2020.2966881" TargetMode="External" /><Relationship Type="http://schemas.openxmlformats.org/officeDocument/2006/relationships/hyperlink" Id="rId107" Target="https://doi.org/10.1109/access.2020.2991968" TargetMode="External" /><Relationship Type="http://schemas.openxmlformats.org/officeDocument/2006/relationships/hyperlink" Id="rId71" Target="https://doi.org/10.1109/access.2022.3196660" TargetMode="External" /><Relationship Type="http://schemas.openxmlformats.org/officeDocument/2006/relationships/hyperlink" Id="rId201" Target="https://doi.org/10.1109/tits.2022.3161689" TargetMode="External" /><Relationship Type="http://schemas.openxmlformats.org/officeDocument/2006/relationships/hyperlink" Id="rId127" Target="https://doi.org/10.1111/mice.70102" TargetMode="External" /><Relationship Type="http://schemas.openxmlformats.org/officeDocument/2006/relationships/hyperlink" Id="rId175" Target="https://doi.org/10.1111/mice.70169" TargetMode="External" /><Relationship Type="http://schemas.openxmlformats.org/officeDocument/2006/relationships/hyperlink" Id="rId105" Target="https://doi.org/10.1139/cjce-2017-0132" TargetMode="External" /><Relationship Type="http://schemas.openxmlformats.org/officeDocument/2006/relationships/hyperlink" Id="rId93" Target="https://doi.org/10.1155/2008/861701" TargetMode="External" /><Relationship Type="http://schemas.openxmlformats.org/officeDocument/2006/relationships/hyperlink" Id="rId203" Target="https://doi.org/10.1155/2020/8824135" TargetMode="External" /><Relationship Type="http://schemas.openxmlformats.org/officeDocument/2006/relationships/hyperlink" Id="rId141" Target="https://doi.org/10.1155/2023/1827117" TargetMode="External" /><Relationship Type="http://schemas.openxmlformats.org/officeDocument/2006/relationships/hyperlink" Id="rId177" Target="https://doi.org/10.1177/03611981241245991" TargetMode="External" /><Relationship Type="http://schemas.openxmlformats.org/officeDocument/2006/relationships/hyperlink" Id="rId101" Target="https://doi.org/10.1177/03611981251329046" TargetMode="External" /><Relationship Type="http://schemas.openxmlformats.org/officeDocument/2006/relationships/hyperlink" Id="rId187" Target="https://doi.org/10.1177/03611981251372087" TargetMode="External" /><Relationship Type="http://schemas.openxmlformats.org/officeDocument/2006/relationships/hyperlink" Id="rId99" Target="https://doi.org/10.1186/s43065-023-00082-9" TargetMode="External" /><Relationship Type="http://schemas.openxmlformats.org/officeDocument/2006/relationships/hyperlink" Id="rId81" Target="https://doi.org/10.1186/s44147-025-00623-x" TargetMode="External" /><Relationship Type="http://schemas.openxmlformats.org/officeDocument/2006/relationships/hyperlink" Id="rId89" Target="https://doi.org/10.1186/s44147-025-00706-9" TargetMode="External" /><Relationship Type="http://schemas.openxmlformats.org/officeDocument/2006/relationships/hyperlink" Id="rId153" Target="https://doi.org/10.28927/sr.2026.000725" TargetMode="External" /><Relationship Type="http://schemas.openxmlformats.org/officeDocument/2006/relationships/hyperlink" Id="rId205" Target="https://doi.org/10.28991/cej-2025-011-01-06" TargetMode="External" /><Relationship Type="http://schemas.openxmlformats.org/officeDocument/2006/relationships/hyperlink" Id="rId91" Target="https://doi.org/10.32604/cmc.2023.042183" TargetMode="External" /><Relationship Type="http://schemas.openxmlformats.org/officeDocument/2006/relationships/hyperlink" Id="rId179" Target="https://doi.org/10.32604/sdhm.2026.075421" TargetMode="External" /><Relationship Type="http://schemas.openxmlformats.org/officeDocument/2006/relationships/hyperlink" Id="rId161" Target="https://doi.org/10.3390/app13031999" TargetMode="External" /><Relationship Type="http://schemas.openxmlformats.org/officeDocument/2006/relationships/hyperlink" Id="rId195" Target="https://doi.org/10.3390/app132312862" TargetMode="External" /><Relationship Type="http://schemas.openxmlformats.org/officeDocument/2006/relationships/hyperlink" Id="rId173" Target="https://doi.org/10.3390/app9153172" TargetMode="External" /><Relationship Type="http://schemas.openxmlformats.org/officeDocument/2006/relationships/hyperlink" Id="rId149" Target="https://doi.org/10.3390/app9163221" TargetMode="External" /><Relationship Type="http://schemas.openxmlformats.org/officeDocument/2006/relationships/hyperlink" Id="rId145" Target="https://doi.org/10.3390/asi9070133" TargetMode="External" /><Relationship Type="http://schemas.openxmlformats.org/officeDocument/2006/relationships/hyperlink" Id="rId85" Target="https://doi.org/10.3390/constrmater6010006" TargetMode="External" /><Relationship Type="http://schemas.openxmlformats.org/officeDocument/2006/relationships/hyperlink" Id="rId121" Target="https://doi.org/10.3390/data3030028" TargetMode="External" /><Relationship Type="http://schemas.openxmlformats.org/officeDocument/2006/relationships/hyperlink" Id="rId109" Target="https://doi.org/10.3390/infrastructures11040127" TargetMode="External" /><Relationship Type="http://schemas.openxmlformats.org/officeDocument/2006/relationships/hyperlink" Id="rId135" Target="https://doi.org/10.3390/infrastructures6020028" TargetMode="External" /><Relationship Type="http://schemas.openxmlformats.org/officeDocument/2006/relationships/hyperlink" Id="rId111" Target="https://doi.org/10.3390/infrastructures8080125" TargetMode="External" /><Relationship Type="http://schemas.openxmlformats.org/officeDocument/2006/relationships/hyperlink" Id="rId139" Target="https://doi.org/10.3390/ma18122913" TargetMode="External" /><Relationship Type="http://schemas.openxmlformats.org/officeDocument/2006/relationships/hyperlink" Id="rId185" Target="https://doi.org/10.3390/s23073772" TargetMode="External" /><Relationship Type="http://schemas.openxmlformats.org/officeDocument/2006/relationships/hyperlink" Id="rId209" Target="https://doi.org/10.3390/s26113286" TargetMode="External" /><Relationship Type="http://schemas.openxmlformats.org/officeDocument/2006/relationships/hyperlink" Id="rId183" Target="https://doi.org/10.3390/su15129617" TargetMode="External" /><Relationship Type="http://schemas.openxmlformats.org/officeDocument/2006/relationships/hyperlink" Id="rId155" Target="https://doi.org/10.48550/arxiv.2112.12589" TargetMode="External" /><Relationship Type="http://schemas.openxmlformats.org/officeDocument/2006/relationships/hyperlink" Id="rId69" Target="https://github.com/sabernaseralavi-60/Does-Hybridisation-Pay-A-Systematic-Review-of-Hybrids-in-Pavement-Engin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2026-08-10T02:03:32Z</dcterms:created>
  <dcterms:modified xsi:type="dcterms:W3CDTF">2026-08-10T02:03:32Z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2026-08-10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